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/>
        <w:ind w:firstLine="0" w:firstLineChars="0"/>
        <w:jc w:val="center"/>
        <w:rPr>
          <w:rFonts w:ascii="宋体" w:hAnsi="宋体" w:cs="宋体-18030"/>
          <w:b/>
          <w:sz w:val="52"/>
          <w:szCs w:val="52"/>
        </w:rPr>
      </w:pPr>
      <w:r>
        <w:rPr>
          <w:rFonts w:hint="eastAsia" w:ascii="宋体" w:hAnsi="宋体" w:cs="宋体-18030"/>
          <w:b/>
          <w:sz w:val="52"/>
          <w:szCs w:val="52"/>
        </w:rPr>
        <w:t>上海市“星光计划”</w:t>
      </w:r>
    </w:p>
    <w:p>
      <w:pPr>
        <w:adjustRightInd/>
        <w:ind w:firstLine="0" w:firstLineChars="0"/>
        <w:jc w:val="center"/>
        <w:rPr>
          <w:rFonts w:ascii="黑体" w:hAnsi="黑体" w:eastAsia="黑体" w:cs="黑体"/>
          <w:sz w:val="36"/>
          <w:szCs w:val="52"/>
        </w:rPr>
      </w:pPr>
      <w:r>
        <w:rPr>
          <w:rFonts w:hint="eastAsia" w:ascii="宋体" w:hAnsi="宋体" w:cs="宋体-18030"/>
          <w:b/>
          <w:sz w:val="52"/>
          <w:szCs w:val="52"/>
        </w:rPr>
        <w:t>第</w:t>
      </w:r>
      <w:r>
        <w:rPr>
          <w:rFonts w:hint="eastAsia" w:ascii="宋体" w:hAnsi="宋体" w:cs="宋体-18030"/>
          <w:b/>
          <w:sz w:val="52"/>
          <w:szCs w:val="52"/>
          <w:lang w:eastAsia="zh-CN"/>
        </w:rPr>
        <w:t>十</w:t>
      </w:r>
      <w:r>
        <w:rPr>
          <w:rFonts w:hint="eastAsia" w:ascii="宋体" w:hAnsi="宋体" w:cs="宋体-18030"/>
          <w:b/>
          <w:sz w:val="52"/>
          <w:szCs w:val="52"/>
        </w:rPr>
        <w:t>届职业院校技能大赛</w:t>
      </w:r>
    </w:p>
    <w:p>
      <w:pPr>
        <w:adjustRightInd/>
        <w:ind w:firstLine="0" w:firstLineChars="0"/>
        <w:jc w:val="center"/>
        <w:rPr>
          <w:rFonts w:ascii="宋体" w:hAnsi="宋体" w:cs="黑体"/>
          <w:sz w:val="48"/>
          <w:szCs w:val="52"/>
        </w:rPr>
      </w:pPr>
      <w:r>
        <w:rPr>
          <w:rFonts w:hint="eastAsia" w:ascii="宋体" w:hAnsi="宋体" w:cs="黑体"/>
          <w:sz w:val="48"/>
          <w:szCs w:val="52"/>
        </w:rPr>
        <w:t>“</w:t>
      </w:r>
      <w:r>
        <w:rPr>
          <w:rFonts w:hint="eastAsia" w:ascii="宋体" w:hAnsi="宋体" w:cs="宋体-18030"/>
          <w:b/>
          <w:sz w:val="52"/>
          <w:szCs w:val="52"/>
          <w:lang w:val="en-US" w:eastAsia="zh-CN"/>
        </w:rPr>
        <w:t>网络布线</w:t>
      </w:r>
      <w:r>
        <w:rPr>
          <w:rFonts w:hint="eastAsia" w:ascii="宋体" w:hAnsi="宋体" w:cs="宋体-18030"/>
          <w:b/>
          <w:sz w:val="52"/>
          <w:szCs w:val="52"/>
        </w:rPr>
        <w:t>”项目</w:t>
      </w:r>
    </w:p>
    <w:p>
      <w:pPr>
        <w:adjustRightInd/>
        <w:ind w:firstLine="0" w:firstLineChars="0"/>
        <w:jc w:val="center"/>
        <w:rPr>
          <w:rFonts w:ascii="宋体" w:hAnsi="宋体" w:cs="宋体-18030"/>
          <w:b/>
          <w:szCs w:val="52"/>
        </w:rPr>
      </w:pPr>
    </w:p>
    <w:p>
      <w:pPr>
        <w:pStyle w:val="2"/>
      </w:pPr>
    </w:p>
    <w:p>
      <w:pPr>
        <w:adjustRightInd/>
        <w:ind w:firstLine="0" w:firstLineChars="0"/>
        <w:jc w:val="center"/>
        <w:rPr>
          <w:rFonts w:hint="eastAsia" w:ascii="宋体" w:hAnsi="宋体" w:eastAsia="宋体-18030" w:cs="宋体-18030"/>
          <w:b/>
          <w:sz w:val="52"/>
          <w:szCs w:val="52"/>
          <w:lang w:val="en-US" w:eastAsia="zh-CN"/>
        </w:rPr>
      </w:pPr>
      <w:r>
        <w:rPr>
          <w:rFonts w:hint="eastAsia" w:ascii="宋体" w:hAnsi="宋体" w:eastAsia="宋体-18030" w:cs="宋体-18030"/>
          <w:b/>
          <w:sz w:val="52"/>
          <w:szCs w:val="52"/>
          <w:lang w:eastAsia="zh-CN"/>
        </w:rPr>
        <w:t>竞赛</w:t>
      </w:r>
      <w:r>
        <w:rPr>
          <w:rFonts w:hint="eastAsia" w:ascii="宋体" w:hAnsi="宋体" w:eastAsia="宋体-18030" w:cs="宋体-18030"/>
          <w:b/>
          <w:sz w:val="52"/>
          <w:szCs w:val="52"/>
          <w:lang w:val="en-US" w:eastAsia="zh-CN"/>
        </w:rPr>
        <w:t>样题</w:t>
      </w:r>
    </w:p>
    <w:p>
      <w:pPr>
        <w:jc w:val="center"/>
        <w:rPr>
          <w:rFonts w:hint="eastAsia" w:ascii="方正小标宋简体" w:eastAsia="方正小标宋简体"/>
          <w:sz w:val="36"/>
          <w:szCs w:val="36"/>
          <w:lang w:val="en-US" w:eastAsia="zh-CN"/>
        </w:rPr>
      </w:pPr>
    </w:p>
    <w:p>
      <w:pPr>
        <w:jc w:val="center"/>
        <w:rPr>
          <w:rFonts w:hint="default" w:ascii="方正小标宋简体" w:eastAsia="方正小标宋简体"/>
          <w:sz w:val="72"/>
          <w:szCs w:val="84"/>
          <w:lang w:val="en-US" w:eastAsia="zh-CN"/>
        </w:rPr>
      </w:pPr>
      <w:r>
        <w:rPr>
          <w:rFonts w:hint="eastAsia" w:ascii="方正小标宋简体" w:eastAsia="方正小标宋简体"/>
          <w:sz w:val="36"/>
          <w:szCs w:val="36"/>
        </w:rPr>
        <w:t>竞赛模块：</w:t>
      </w:r>
      <w:r>
        <w:rPr>
          <w:rFonts w:hint="eastAsia" w:ascii="方正小标宋简体" w:eastAsia="方正小标宋简体"/>
          <w:sz w:val="36"/>
          <w:szCs w:val="36"/>
          <w:lang w:val="en-US" w:eastAsia="zh-CN"/>
        </w:rPr>
        <w:t>A</w:t>
      </w:r>
      <w:r>
        <w:rPr>
          <w:rFonts w:hint="eastAsia" w:ascii="方正小标宋简体" w:eastAsia="方正小标宋简体"/>
          <w:sz w:val="36"/>
          <w:szCs w:val="36"/>
        </w:rPr>
        <w:t>、</w:t>
      </w:r>
      <w:r>
        <w:rPr>
          <w:rFonts w:hint="eastAsia" w:ascii="方正小标宋简体" w:eastAsia="方正小标宋简体"/>
          <w:sz w:val="36"/>
          <w:szCs w:val="36"/>
          <w:lang w:val="en-US" w:eastAsia="zh-CN"/>
        </w:rPr>
        <w:t>B</w:t>
      </w:r>
      <w:r>
        <w:rPr>
          <w:rFonts w:hint="eastAsia" w:ascii="方正小标宋简体" w:eastAsia="方正小标宋简体"/>
          <w:sz w:val="36"/>
          <w:szCs w:val="36"/>
        </w:rPr>
        <w:t>、</w:t>
      </w:r>
      <w:r>
        <w:rPr>
          <w:rFonts w:hint="eastAsia" w:ascii="方正小标宋简体" w:eastAsia="方正小标宋简体"/>
          <w:sz w:val="36"/>
          <w:szCs w:val="36"/>
          <w:lang w:val="en-US" w:eastAsia="zh-CN"/>
        </w:rPr>
        <w:t>C、D、E、F、G</w:t>
      </w:r>
    </w:p>
    <w:p>
      <w:pPr>
        <w:jc w:val="center"/>
        <w:rPr>
          <w:rFonts w:ascii="方正小标宋简体" w:eastAsia="方正小标宋简体"/>
          <w:sz w:val="72"/>
          <w:szCs w:val="84"/>
        </w:rPr>
      </w:pPr>
    </w:p>
    <w:p>
      <w:pPr>
        <w:adjustRightInd/>
        <w:ind w:firstLine="0" w:firstLineChars="0"/>
        <w:jc w:val="center"/>
        <w:rPr>
          <w:rFonts w:ascii="楷体" w:hAnsi="楷体" w:eastAsia="楷体" w:cs="宋体-18030"/>
          <w:sz w:val="36"/>
          <w:szCs w:val="36"/>
        </w:rPr>
      </w:pPr>
      <w:r>
        <w:rPr>
          <w:rFonts w:hint="eastAsia" w:ascii="楷体" w:hAnsi="楷体" w:eastAsia="楷体" w:cs="宋体-18030"/>
          <w:sz w:val="36"/>
          <w:szCs w:val="36"/>
        </w:rPr>
        <w:t>上海市星光计划组委会竞赛办公室</w:t>
      </w:r>
    </w:p>
    <w:p>
      <w:pPr>
        <w:adjustRightInd/>
        <w:ind w:firstLine="0" w:firstLineChars="0"/>
        <w:jc w:val="center"/>
        <w:rPr>
          <w:rFonts w:ascii="宋体-18030" w:hAnsi="宋体-18030" w:eastAsia="宋体-18030" w:cs="宋体-18030"/>
          <w:sz w:val="36"/>
          <w:szCs w:val="36"/>
        </w:rPr>
      </w:pPr>
      <w:r>
        <w:rPr>
          <w:rFonts w:hint="eastAsia" w:ascii="楷体" w:hAnsi="楷体" w:eastAsia="楷体" w:cs="宋体-18030"/>
          <w:sz w:val="36"/>
          <w:szCs w:val="36"/>
        </w:rPr>
        <w:t>二〇二</w:t>
      </w:r>
      <w:r>
        <w:rPr>
          <w:rFonts w:hint="eastAsia" w:ascii="楷体" w:hAnsi="楷体" w:eastAsia="楷体" w:cs="宋体-18030"/>
          <w:sz w:val="36"/>
          <w:szCs w:val="36"/>
          <w:lang w:val="en-US" w:eastAsia="zh-CN"/>
        </w:rPr>
        <w:t>二</w:t>
      </w:r>
      <w:r>
        <w:rPr>
          <w:rFonts w:hint="eastAsia" w:ascii="楷体" w:hAnsi="楷体" w:eastAsia="楷体" w:cs="宋体-18030"/>
          <w:sz w:val="36"/>
          <w:szCs w:val="36"/>
        </w:rPr>
        <w:t>年×月</w:t>
      </w: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ascii="黑体" w:hAnsi="黑体" w:eastAsia="黑体"/>
          <w:sz w:val="36"/>
          <w:szCs w:val="36"/>
        </w:rPr>
        <w:br w:type="page"/>
      </w:r>
      <w:r>
        <w:rPr>
          <w:rFonts w:hint="eastAsia" w:ascii="黑体" w:hAnsi="黑体" w:eastAsia="黑体"/>
          <w:sz w:val="36"/>
          <w:szCs w:val="36"/>
        </w:rPr>
        <w:t>注意事项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一）全部书面文件、电子版竞赛作品、布线工程作品只能按竞赛试卷（简称赛卷）所规定的命名规则命名，不得填写指定内容之外的任何识别性标记。如果出现地区、校名、人名等其他任何与参赛队有关的识别信息，一经发现，竞赛试卷和作品作废，比赛按零分处理，并且提请赛项执委会进行处罚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（二）竞赛试卷、竞赛作品、竞赛工具、竞赛器材及竞赛材料等不得带出竞赛场地，一经发现，竞赛作品作废，比赛按零分处理，并且提请赛项执委会进行处罚。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（三）进入竞赛场地，禁止携带移动存储设备、计算器、通讯工具、竞赛材料、加工/施工工具及参考资料等。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（四）进入竞赛施工现场，施工人员需佩戴安全帽（模块A、B竞赛阶段除外）。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五）竞赛所用工具、器材、耗材，在竞赛开始前已全部发放到各个竞赛赛位，保证充分满足竞赛需求。竞赛开始前，请仔细核对材料确认单，并签字确认（未签字确认前禁止开始比赛）。竞赛过程中，不再另行发放工具、器材、耗材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（六）请仔细阅读本赛卷要求，按照赛卷规定要求/需求进行设备/器材配置、加工及调试。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（七）竞赛过程中，参赛队要做到工作井然有序、不跨区操作、不喧哗，竞赛施工材料、加工废料、施工模块等分区有序存放。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（八）竞赛时间结束后，立即停止操作，所有参赛队员离开赛位，并且站立于赛位之外。赛卷放在电脑旁边，等待裁判员检查和确认，确认后参赛队必须立即离开竞赛场地。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（九）对设备上未标注端口编号的配线架，规定端口号均依次从左向右从小到大编号（左……  1、2、3……n  ……右）。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（十）竞赛所需的说明书等电子文档均存放在赛位计算机桌面的“网络布线素材”文件夹中；网络布线工程设计需提交的电子作品，请保存在计算机桌面的“工程设计成果-n”文件夹下（n为赛位号）。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（十一）竞赛赛位平面布局图</w:t>
      </w:r>
    </w:p>
    <w:p>
      <w:pPr>
        <w:ind w:left="0" w:leftChars="0" w:firstLine="0" w:firstLineChars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854960" cy="6285865"/>
            <wp:effectExtent l="0" t="0" r="2540" b="635"/>
            <wp:docPr id="19" name="图片 19" descr="2022辽宁综合布线省赛单工位布局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2辽宁综合布线省赛单工位布局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628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图1 竞赛赛位平面布局图</w:t>
      </w:r>
    </w:p>
    <w:p>
      <w:pPr>
        <w:rPr>
          <w:rFonts w:hint="eastAsia"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br w:type="page"/>
      </w:r>
    </w:p>
    <w:p>
      <w:pPr>
        <w:numPr>
          <w:ilvl w:val="0"/>
          <w:numId w:val="0"/>
        </w:numPr>
        <w:tabs>
          <w:tab w:val="left" w:pos="1418"/>
        </w:tabs>
        <w:spacing w:line="480" w:lineRule="exact"/>
        <w:jc w:val="center"/>
        <w:outlineLvl w:val="9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t>模块</w:t>
      </w:r>
      <w:r>
        <w:rPr>
          <w:rFonts w:hint="eastAsia" w:ascii="黑体" w:hAnsi="黑体"/>
          <w:b w:val="0"/>
          <w:sz w:val="32"/>
          <w:szCs w:val="32"/>
          <w:lang w:val="en-US" w:eastAsia="zh-CN"/>
        </w:rPr>
        <w:t>A</w:t>
      </w:r>
      <w:r>
        <w:rPr>
          <w:rFonts w:hint="eastAsia" w:ascii="黑体" w:hAnsi="黑体" w:eastAsia="黑体"/>
          <w:b w:val="0"/>
          <w:sz w:val="32"/>
          <w:szCs w:val="32"/>
        </w:rPr>
        <w:t>：网络布线速度竞赛（</w:t>
      </w:r>
      <w:r>
        <w:rPr>
          <w:rFonts w:hint="eastAsia" w:ascii="黑体" w:hAnsi="黑体"/>
          <w:b w:val="0"/>
          <w:sz w:val="32"/>
          <w:szCs w:val="32"/>
          <w:lang w:val="en-US" w:eastAsia="zh-CN"/>
        </w:rPr>
        <w:t>45</w:t>
      </w:r>
      <w:r>
        <w:rPr>
          <w:rFonts w:hint="eastAsia" w:ascii="黑体" w:hAnsi="黑体" w:eastAsia="黑体"/>
          <w:b w:val="0"/>
          <w:sz w:val="32"/>
          <w:szCs w:val="32"/>
        </w:rPr>
        <w:t>分钟）（1</w:t>
      </w:r>
      <w:r>
        <w:rPr>
          <w:rFonts w:ascii="黑体" w:hAnsi="黑体" w:eastAsia="黑体"/>
          <w:b w:val="0"/>
          <w:sz w:val="32"/>
          <w:szCs w:val="32"/>
        </w:rPr>
        <w:t>2</w:t>
      </w:r>
      <w:r>
        <w:rPr>
          <w:rFonts w:hint="eastAsia" w:ascii="黑体" w:hAnsi="黑体" w:eastAsia="黑体"/>
          <w:b w:val="0"/>
          <w:sz w:val="32"/>
          <w:szCs w:val="32"/>
        </w:rPr>
        <w:t>0分）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网络布线赛项首先进行网络布线速度竞赛，时间为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45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分钟。包括铜缆端接速度竞赛和光纤熔接速度竞赛，由参赛队的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其中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2名选手分别独立完成，选手分工由各参赛队自行决定。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网络布线速度竞赛阶段，选手只能在图1所示的速度竞赛赛位进行网络布线速度竞赛，不得进行任何不相关操作，也不得离开速度竞赛赛位，竞赛过程中不允许相互交流。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网络布线速度竞赛为定时竞速比赛，到达规定时间后，必须立即停止操作，不得再进行任何与网络布线速度竞赛相关的操作。</w:t>
      </w:r>
    </w:p>
    <w:p>
      <w:pPr>
        <w:numPr>
          <w:ilvl w:val="0"/>
          <w:numId w:val="0"/>
        </w:numPr>
        <w:snapToGrid w:val="0"/>
        <w:spacing w:line="560" w:lineRule="exact"/>
        <w:ind w:firstLine="241" w:firstLineChars="100"/>
        <w:outlineLvl w:val="9"/>
        <w:rPr>
          <w:rFonts w:hint="eastAsia"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（一）铜缆端接速度竞赛（60分）</w:t>
      </w:r>
    </w:p>
    <w:p>
      <w:pPr>
        <w:pStyle w:val="9"/>
        <w:spacing w:line="560" w:lineRule="exact"/>
        <w:outlineLvl w:val="9"/>
        <w:rPr>
          <w:rFonts w:hint="eastAsia" w:asciiTheme="minorEastAsia" w:hAnsiTheme="minorEastAsia" w:eastAsiaTheme="minorEastAsia" w:cstheme="minorEastAsia"/>
          <w:b/>
          <w:bCs w:val="0"/>
          <w:kern w:val="2"/>
          <w:sz w:val="24"/>
          <w:szCs w:val="24"/>
          <w:lang w:val="en-US" w:eastAsia="zh-CN" w:bidi="ar-SA"/>
        </w:rPr>
      </w:pPr>
      <w:bookmarkStart w:id="0" w:name="_Toc25656"/>
      <w:r>
        <w:rPr>
          <w:rFonts w:hint="eastAsia" w:asciiTheme="minorEastAsia" w:hAnsiTheme="minorEastAsia" w:eastAsiaTheme="minorEastAsia" w:cstheme="minorEastAsia"/>
          <w:b/>
          <w:bCs w:val="0"/>
          <w:kern w:val="2"/>
          <w:sz w:val="24"/>
          <w:szCs w:val="24"/>
          <w:lang w:val="en-US" w:eastAsia="zh-CN" w:bidi="ar-SA"/>
        </w:rPr>
        <w:t>1．竞赛准备</w:t>
      </w:r>
      <w:bookmarkEnd w:id="0"/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准备阶段时间计算在比赛时间内。竞赛准备内容和方法如下：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（1）检查竞赛材料的数量和质量。准备和检查超五类水晶头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52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个，超五类模块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50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个，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水晶护套 52 个，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根据选手需要和本竞赛要求（见下文）裁剪数量合适、长度适中的超五类非屏蔽双绞线电缆，保证数量正确和质量合格，并且在台面摆放到顺手位置。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（2）检查工具。准备和检查所使用的工具、测线器等，并且在台面摆放到顺手位置。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（3）根据需要制作1根长度适中的RJ45水晶头-RJ45水晶头跳线作为测试跳线，一端插入测线器，摆放在后续测试比较合适的位置。</w:t>
      </w:r>
    </w:p>
    <w:p>
      <w:pPr>
        <w:pStyle w:val="9"/>
        <w:spacing w:line="560" w:lineRule="exact"/>
        <w:outlineLvl w:val="9"/>
        <w:rPr>
          <w:rFonts w:hint="eastAsia" w:asciiTheme="minorEastAsia" w:hAnsiTheme="minorEastAsia" w:eastAsiaTheme="minorEastAsia" w:cstheme="minorEastAsia"/>
          <w:b/>
          <w:bCs w:val="0"/>
          <w:kern w:val="2"/>
          <w:sz w:val="24"/>
          <w:szCs w:val="24"/>
          <w:lang w:val="en-US" w:eastAsia="zh-CN" w:bidi="ar-SA"/>
        </w:rPr>
      </w:pPr>
      <w:bookmarkStart w:id="1" w:name="_Toc8096"/>
      <w:r>
        <w:rPr>
          <w:rFonts w:hint="eastAsia" w:asciiTheme="minorEastAsia" w:hAnsiTheme="minorEastAsia" w:eastAsiaTheme="minorEastAsia" w:cstheme="minorEastAsia"/>
          <w:b/>
          <w:bCs w:val="0"/>
          <w:kern w:val="2"/>
          <w:sz w:val="24"/>
          <w:szCs w:val="24"/>
          <w:lang w:val="en-US" w:eastAsia="zh-CN" w:bidi="ar-SA"/>
        </w:rPr>
        <w:t>2．铜缆端接速度竞赛</w:t>
      </w:r>
      <w:bookmarkEnd w:id="1"/>
    </w:p>
    <w:p>
      <w:pPr>
        <w:snapToGrid w:val="0"/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按图2所示，制作3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0毫米长RJ45模块-RJ45水晶头跳线，并且串联在一起。最终评价链接的数量和质量。要保证所有链接的节点都能够导通，按照符合链接标准，质量合格的节点计算完成的数量。同时评判端接的外观质量、操作规范和环境卫生等。</w:t>
      </w:r>
    </w:p>
    <w:p>
      <w:pPr>
        <w:snapToGrid w:val="0"/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具体要求如下：</w:t>
      </w:r>
    </w:p>
    <w:p>
      <w:pPr>
        <w:snapToGrid w:val="0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34940" cy="480060"/>
            <wp:effectExtent l="0" t="0" r="3810" b="15240"/>
            <wp:docPr id="5" name="图片 2" descr="图4-铜缆端接速度竞赛串联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图4-铜缆端接速度竞赛串联图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图2  铜缆端接速度竞赛串联图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（1）首先制作RJ45模块-RJ45水晶头跳线，并且插入准备阶段制作的RJ45水晶头-RJ45水晶头跳线，然后再制作RJ45模块-RJ45水晶头跳线，按此循环制作，边做边串联和测试。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（2）必须保证每根跳线合格，不合格跳线不得串联，多根跳线串联后通断测试合格，允许选手使用测线器进行测试。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（3）必须保证线序正确，水晶头按照T568B线序压接，模块按照色标规定的T568B线序制作。</w:t>
      </w:r>
    </w:p>
    <w:p>
      <w:pPr>
        <w:spacing w:before="2" w:line="368" w:lineRule="auto"/>
        <w:ind w:left="25" w:right="79" w:firstLine="548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</w:t>
      </w:r>
      <w:r>
        <w:rPr>
          <w:rFonts w:hint="eastAsia" w:asciiTheme="minorEastAsia" w:hAnsiTheme="minorEastAsia" w:eastAsiaTheme="minorEastAsia" w:cstheme="minorEastAsia"/>
          <w:spacing w:val="-93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4</w:t>
      </w:r>
      <w:r>
        <w:rPr>
          <w:rFonts w:hint="eastAsia" w:asciiTheme="minorEastAsia" w:hAnsiTheme="minorEastAsia" w:eastAsiaTheme="minorEastAsia" w:cstheme="minorEastAsia"/>
          <w:spacing w:val="-1"/>
          <w:sz w:val="24"/>
          <w:szCs w:val="24"/>
        </w:rPr>
        <w:t>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全部跳线剥除护套长度合适，撕拉线剪除干净。水晶头压 接外观端正</w:t>
      </w:r>
      <w:r>
        <w:rPr>
          <w:rFonts w:hint="eastAsia" w:asciiTheme="minorEastAsia" w:hAnsiTheme="minorEastAsia" w:eastAsiaTheme="minorEastAsia" w:cstheme="minorEastAsia"/>
          <w:spacing w:val="-4"/>
          <w:sz w:val="24"/>
          <w:szCs w:val="24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没有明显偏心和绞对</w:t>
      </w:r>
      <w:r>
        <w:rPr>
          <w:rFonts w:hint="eastAsia" w:asciiTheme="minorEastAsia" w:hAnsiTheme="minorEastAsia" w:eastAsiaTheme="minorEastAsia" w:cstheme="minorEastAsia"/>
          <w:spacing w:val="-4"/>
          <w:sz w:val="24"/>
          <w:szCs w:val="24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护套安装到位</w:t>
      </w:r>
      <w:r>
        <w:rPr>
          <w:rFonts w:hint="eastAsia" w:asciiTheme="minorEastAsia" w:hAnsiTheme="minorEastAsia" w:eastAsiaTheme="minorEastAsia" w:cstheme="minorEastAsia"/>
          <w:spacing w:val="-3"/>
          <w:sz w:val="24"/>
          <w:szCs w:val="24"/>
        </w:rPr>
        <w:t>。</w:t>
      </w:r>
    </w:p>
    <w:p>
      <w:pPr>
        <w:spacing w:before="1" w:line="369" w:lineRule="auto"/>
        <w:ind w:left="25" w:right="79" w:firstLine="548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</w:t>
      </w:r>
      <w:r>
        <w:rPr>
          <w:rFonts w:hint="eastAsia" w:asciiTheme="minorEastAsia" w:hAnsiTheme="minorEastAsia" w:eastAsiaTheme="minorEastAsia" w:cstheme="minorEastAsia"/>
          <w:spacing w:val="-93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5</w:t>
      </w:r>
      <w:r>
        <w:rPr>
          <w:rFonts w:hint="eastAsia" w:asciiTheme="minorEastAsia" w:hAnsiTheme="minorEastAsia" w:eastAsiaTheme="minorEastAsia" w:cstheme="minorEastAsia"/>
          <w:spacing w:val="-1"/>
          <w:sz w:val="24"/>
          <w:szCs w:val="24"/>
        </w:rPr>
        <w:t>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模块端接剥除护套长度合适，模块外无明显裸露线芯，撕 拉线剪除干净</w:t>
      </w:r>
      <w:r>
        <w:rPr>
          <w:rFonts w:hint="eastAsia" w:asciiTheme="minorEastAsia" w:hAnsiTheme="minorEastAsia" w:eastAsiaTheme="minorEastAsia" w:cstheme="minorEastAsia"/>
          <w:spacing w:val="-20"/>
          <w:sz w:val="24"/>
          <w:szCs w:val="24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盖好压盖</w:t>
      </w:r>
      <w:r>
        <w:rPr>
          <w:rFonts w:hint="eastAsia" w:asciiTheme="minorEastAsia" w:hAnsiTheme="minorEastAsia" w:eastAsiaTheme="minorEastAsia" w:cstheme="minorEastAsia"/>
          <w:spacing w:val="-20"/>
          <w:sz w:val="24"/>
          <w:szCs w:val="24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剪掉多余线头</w:t>
      </w:r>
      <w:r>
        <w:rPr>
          <w:rFonts w:hint="eastAsia" w:asciiTheme="minorEastAsia" w:hAnsiTheme="minorEastAsia" w:eastAsiaTheme="minorEastAsia" w:cstheme="minorEastAsia"/>
          <w:spacing w:val="-20"/>
          <w:sz w:val="24"/>
          <w:szCs w:val="24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预留长度小于 1mm</w:t>
      </w:r>
      <w:r>
        <w:rPr>
          <w:rFonts w:hint="eastAsia" w:asciiTheme="minorEastAsia" w:hAnsiTheme="minorEastAsia" w:eastAsiaTheme="minorEastAsia" w:cstheme="minorEastAsia"/>
          <w:spacing w:val="-20"/>
          <w:sz w:val="24"/>
          <w:szCs w:val="24"/>
        </w:rPr>
        <w:t>。</w:t>
      </w:r>
    </w:p>
    <w:p>
      <w:pPr>
        <w:spacing w:line="560" w:lineRule="exact"/>
        <w:ind w:firstLine="482" w:firstLineChars="200"/>
        <w:rPr>
          <w:rFonts w:hint="eastAsia"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【特别说明】铜缆端接速度竞赛时间结束后，必须立即停止操作，分别将主测线器和远端测试端连接到整条链路两端，测线器保持开通且指示灯一侧向上，连同铜缆端接速度竞赛作品摆放在铜缆速度竞赛赛位的椅子上，测线器的指示状态作为整条链路连通性的评分依据。然后将铜缆速度竞赛工作台移动到布线安装区域，作为施工操作台使用。</w:t>
      </w:r>
    </w:p>
    <w:p>
      <w:pPr>
        <w:numPr>
          <w:ilvl w:val="0"/>
          <w:numId w:val="0"/>
        </w:numPr>
        <w:snapToGrid w:val="0"/>
        <w:spacing w:line="560" w:lineRule="exact"/>
        <w:ind w:left="565"/>
        <w:outlineLvl w:val="9"/>
        <w:rPr>
          <w:rFonts w:hint="eastAsia"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光纤熔接速度竞赛（60分）</w:t>
      </w:r>
    </w:p>
    <w:p>
      <w:pPr>
        <w:pStyle w:val="9"/>
        <w:spacing w:line="560" w:lineRule="exact"/>
        <w:outlineLvl w:val="9"/>
        <w:rPr>
          <w:rFonts w:hint="eastAsia" w:asciiTheme="minorEastAsia" w:hAnsiTheme="minorEastAsia" w:eastAsiaTheme="minorEastAsia" w:cstheme="minorEastAsia"/>
          <w:b/>
          <w:bCs w:val="0"/>
          <w:kern w:val="2"/>
          <w:sz w:val="24"/>
          <w:szCs w:val="24"/>
          <w:lang w:val="en-US" w:eastAsia="zh-CN" w:bidi="ar-SA"/>
        </w:rPr>
      </w:pPr>
      <w:bookmarkStart w:id="2" w:name="_Toc12064"/>
      <w:r>
        <w:rPr>
          <w:rFonts w:hint="eastAsia" w:asciiTheme="minorEastAsia" w:hAnsiTheme="minorEastAsia" w:eastAsiaTheme="minorEastAsia" w:cstheme="minorEastAsia"/>
          <w:b/>
          <w:bCs w:val="0"/>
          <w:kern w:val="2"/>
          <w:sz w:val="24"/>
          <w:szCs w:val="24"/>
          <w:lang w:val="en-US" w:eastAsia="zh-CN" w:bidi="ar-SA"/>
        </w:rPr>
        <w:t>1．竞赛准备</w:t>
      </w:r>
      <w:bookmarkEnd w:id="2"/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准备阶段时间计算在比赛时间内。竞赛准备内容和方法如下：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（1）准备5米长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芯单模室内光缆2根，如图3所示用尼龙扎带和粘扣固定在台面，同时考虑熔接机和工具等位置，方便快速操作。</w:t>
      </w:r>
    </w:p>
    <w:p>
      <w:pPr>
        <w:snapToGrid w:val="0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4299585" cy="2159635"/>
            <wp:effectExtent l="0" t="0" r="5715" b="12065"/>
            <wp:docPr id="6" name="图片 3" descr="G:\2018年全国职业院校技能大赛\赛题\赛题库\赛题1\图5-光缆台面固定方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G:\2018年全国职业院校技能大赛\赛题\赛题库\赛题1\图5-光缆台面固定方式图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图3  光缆在台面固定方式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（2）光缆开缆，剥去光缆两端外皮700毫米。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（3）在光缆的一端熔接1条SC尾纤，并且连接红光光源，如图4所示。准备酒精和无尘纸等器材。</w:t>
      </w:r>
    </w:p>
    <w:p>
      <w:pPr>
        <w:pStyle w:val="9"/>
        <w:spacing w:line="560" w:lineRule="exact"/>
        <w:ind w:firstLine="723" w:firstLineChars="300"/>
        <w:outlineLvl w:val="9"/>
        <w:rPr>
          <w:rFonts w:hint="eastAsia" w:asciiTheme="minorEastAsia" w:hAnsiTheme="minorEastAsia" w:eastAsiaTheme="minorEastAsia" w:cstheme="minorEastAsia"/>
          <w:b/>
          <w:bCs w:val="0"/>
          <w:kern w:val="2"/>
          <w:sz w:val="24"/>
          <w:szCs w:val="24"/>
          <w:lang w:val="en-US" w:eastAsia="zh-CN" w:bidi="ar-SA"/>
        </w:rPr>
      </w:pPr>
      <w:bookmarkStart w:id="3" w:name="_Toc5731"/>
      <w:r>
        <w:rPr>
          <w:rFonts w:hint="eastAsia" w:asciiTheme="minorEastAsia" w:hAnsiTheme="minorEastAsia" w:eastAsiaTheme="minorEastAsia" w:cstheme="minorEastAsia"/>
          <w:b/>
          <w:bCs w:val="0"/>
          <w:kern w:val="2"/>
          <w:sz w:val="24"/>
          <w:szCs w:val="24"/>
          <w:lang w:val="en-US" w:eastAsia="zh-CN" w:bidi="ar-SA"/>
        </w:rPr>
        <w:t>2．光纤熔接速度竞赛</w:t>
      </w:r>
      <w:bookmarkEnd w:id="3"/>
    </w:p>
    <w:p>
      <w:pPr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4987290" cy="3531870"/>
            <wp:effectExtent l="0" t="0" r="3810" b="11430"/>
            <wp:docPr id="4" name="图片 4" descr="24芯光纤熔接竞速线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4芯光纤熔接竞速线序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560" w:lineRule="exact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图4  光纤熔接速度竞赛连接图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要求将两根光缆环形接续，将光缆按照光纤的色谱顺序，依次熔</w:t>
      </w:r>
    </w:p>
    <w:p>
      <w:pPr>
        <w:spacing w:line="560" w:lineRule="exac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接，连接串成一条通路。熔接完成后，将熔接好的光纤按照色谱顺序整齐放入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芯光纤熔纤盘中。其中连接尾纤的光缆 1-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芯光纤按照 色谱顺序整齐放入第 1 个光纤熔纤盘中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另一处接续光缆 1-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芯光纤按 照色谱顺序整齐放入第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个光纤熔纤盘中（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个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芯光纤熔纤盘不要堆叠在 一起，按照顺序整齐放在桌上即可）。在保证通断测试合格的前提下， 记录熔接点的个数，同时评判熔接点外观质量，操作规范，带护目镜 等劳动保护，环境卫生等。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具体操作技术要求和注意事项如下：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（1）使用熔接机熔接光纤，及时清洁熔接机，保证熔接合格。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（2）每个熔接点必须安装1个热收缩保护管，调整加热时间正确，套管收缩合格并且居中。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（3）必须去除光纤外皮和树脂层，每芯光纤至少清洁3次。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（4）光纤剥线钳每次使用后必须及时清洁，去除剥线钳刀口上面粘留的树脂或杂物。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（5）正确使用和清洁光纤切割刀。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（6）选手只能使用竞赛规定的设备和器材，不允许自己创建任何特殊夹具。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（7）竞速结束后，请保持图4中红光笔的连接状态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，关闭红光光源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</w:t>
      </w:r>
    </w:p>
    <w:p>
      <w:pPr>
        <w:numPr>
          <w:ilvl w:val="0"/>
          <w:numId w:val="0"/>
        </w:numPr>
        <w:tabs>
          <w:tab w:val="left" w:pos="1418"/>
        </w:tabs>
        <w:spacing w:line="480" w:lineRule="exact"/>
        <w:ind w:left="1" w:hanging="1"/>
        <w:jc w:val="center"/>
        <w:outlineLvl w:val="9"/>
        <w:rPr>
          <w:rFonts w:ascii="黑体" w:hAnsi="黑体" w:eastAsia="黑体"/>
          <w:b w:val="0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br w:type="page"/>
      </w:r>
      <w:r>
        <w:rPr>
          <w:rFonts w:hint="eastAsia" w:ascii="黑体" w:hAnsi="黑体" w:eastAsia="黑体"/>
          <w:sz w:val="32"/>
          <w:szCs w:val="32"/>
        </w:rPr>
        <w:t>模块</w:t>
      </w:r>
      <w:r>
        <w:rPr>
          <w:rFonts w:hint="eastAsia" w:ascii="黑体" w:hAnsi="黑体"/>
          <w:sz w:val="32"/>
          <w:szCs w:val="32"/>
          <w:lang w:val="en-US" w:eastAsia="zh-CN"/>
        </w:rPr>
        <w:t>B：</w:t>
      </w:r>
      <w:r>
        <w:rPr>
          <w:rFonts w:hint="eastAsia" w:ascii="黑体" w:hAnsi="黑体" w:eastAsia="黑体"/>
          <w:sz w:val="32"/>
          <w:szCs w:val="32"/>
        </w:rPr>
        <w:t>网络布线工程设计（</w:t>
      </w:r>
      <w:r>
        <w:rPr>
          <w:rFonts w:hint="eastAsia" w:ascii="黑体" w:hAnsi="黑体"/>
          <w:sz w:val="32"/>
          <w:szCs w:val="32"/>
          <w:lang w:val="en-US" w:eastAsia="zh-CN"/>
        </w:rPr>
        <w:t>100</w:t>
      </w:r>
      <w:r>
        <w:rPr>
          <w:rFonts w:hint="eastAsia" w:ascii="黑体" w:hAnsi="黑体" w:eastAsia="黑体"/>
          <w:sz w:val="32"/>
          <w:szCs w:val="32"/>
        </w:rPr>
        <w:t>分）</w:t>
      </w:r>
    </w:p>
    <w:p>
      <w:pPr>
        <w:pStyle w:val="10"/>
        <w:autoSpaceDE w:val="0"/>
        <w:autoSpaceDN w:val="0"/>
        <w:spacing w:line="560" w:lineRule="exact"/>
        <w:ind w:firstLine="560"/>
        <w:jc w:val="left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在比赛时间内根据图5所示，模拟给定的综合布线系统工程项目，按照赛卷要求和GB50311-2016《综合布线系统工程设计规范》完成网络布线工程设计。具体要求如下：</w:t>
      </w:r>
    </w:p>
    <w:p>
      <w:pPr>
        <w:pStyle w:val="10"/>
        <w:autoSpaceDE w:val="0"/>
        <w:autoSpaceDN w:val="0"/>
        <w:adjustRightInd w:val="0"/>
        <w:ind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drawing>
          <wp:inline distT="0" distB="0" distL="114300" distR="114300">
            <wp:extent cx="4933315" cy="6750050"/>
            <wp:effectExtent l="0" t="0" r="635" b="12700"/>
            <wp:docPr id="15" name="图片 15" descr="建筑模型立体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建筑模型立体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图5 建筑模型立体图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该建筑模型为模拟楼宇三个楼层网络布线系统工程项目。项目名称统一规定为“网络布线工程”+赛位号(赛位号取2位数字，不足2位前缀补0)。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2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该建筑模型三个楼层房间区域内卡通人物代表房间的用途。其中1个人物表示领导办公室，按照2个语音、2个数据信息点配置；2-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个人物表示集体办公室，按照每人1个语音、1个数据信息点配置；6个人物表示会议室，按照2个数据信息点配置；8个人物表示教室，按照2个数据信息点配置；设备间和管理间按照每个房间1个语音、1个数据信息点配置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3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该建筑模型三个楼层中会议室、教室为单口信息插座，每个单口信息插座1个数据信息点。其余房间均为双口信息插座，每个双口信息插座1个数据信息点、1个语音信息点。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4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针对双口信息插座统一规定：面对信息插座，左侧端口为数据信息点，右侧端口为语音信息点，数据信息点与语音信息点均使用数据模块端接。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5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该建筑模型CD-BD之间选用1根4芯单模室外光缆布线。BD-FD之间分别选用1根4芯多模室内光缆和1根50对大对数电缆布线。FD-TO之间选用超五类非屏蔽双绞线电缆布线。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6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该建筑模型CD-BD为室外埋管布线。BD-FD1为地下埋管布线，BD-FD2、BD-FD3为沿墙体垂直桥架（200*100mm）布线。FD-TO为明槽暗管布线，楼道为明装桥架（100*80mm），室内沿隔墙暗管（Φ20mmPVC管）布线到TO。设备间、管理间、领导办公室信息插座分布在房间的一边，集体办公室、会议室信息插座分布在房间的两边；教室信息插座分布在讲台的两边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7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图5中101、102、103…315为房间编号。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8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该建筑模型楼层每层高度为3.3米，水平桥架距地面高度为2.9米，信息插座距地面高度0.3米。1至3人办公室、设备间、管理间面积为28㎡（4米*7米），4人办公室面积为42㎡（6米*7米，其中314房间除外），314房间面积为56㎡（8米*7米），会议室面积为56㎡（8米*7米），教室面积为84㎡（12米*7米）。楼道宽度为3米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9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该建筑模型107、207、307房间为楼层管理间，每个楼层管理间配置的机柜为32U标准机柜。每个楼层机柜内网络配线架编号依次为W1、W2……（从上到下，第一个网络配线架编号为W1，第二个网络配线架编号为W2，依此类推，下述语音配线架编号、光纤配线架编号等含义相同，不再复述）；语音配线架编号依次为Y1、Y2……；光纤配线架编号依次为G1、G2……。每房间信息插座顺时针编号，编号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从小到大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依次为01、02、03……。</w:t>
      </w:r>
    </w:p>
    <w:p>
      <w:pPr>
        <w:autoSpaceDE w:val="0"/>
        <w:autoSpaceDN w:val="0"/>
        <w:spacing w:line="56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10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按照房间编号从小到大，信息插座编号从小到大的顺序，每楼层数据信息点全部端接在网络配线架W1、W2上，且从网络配线架W1的1号端/压接模块依次端接，语音信息点全部端接在网络配线架W3、W4上，且从网络配线架W3的1号端/压接模块依次端接。</w:t>
      </w:r>
    </w:p>
    <w:p>
      <w:pPr>
        <w:autoSpaceDE w:val="0"/>
        <w:autoSpaceDN w:val="0"/>
        <w:spacing w:line="56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根据以上描述，完成以下设计任务：</w:t>
      </w:r>
    </w:p>
    <w:p>
      <w:pPr>
        <w:numPr>
          <w:ilvl w:val="0"/>
          <w:numId w:val="0"/>
        </w:numPr>
        <w:snapToGrid w:val="0"/>
        <w:spacing w:line="560" w:lineRule="exact"/>
        <w:ind w:left="567"/>
        <w:outlineLvl w:val="9"/>
        <w:rPr>
          <w:rFonts w:hint="eastAsia"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（一）信息点点数统计表编制（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>12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分）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使用WPS表格软件,按照表1格式完成信息点点数统计表的编制。要求项目名称正确、表格设计合理、信息点数量正确、赛位号（建筑物编号、编制人、审核人均填写赛位号，不得填写其它内容）及日期说明完整，编制完成后文件保存到“工程设计成果-n”文件夹下，保存文件名为“信息点点数统计表”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说明：图5中，房间编号=楼层序号+本楼层房间序号。 </w:t>
      </w:r>
    </w:p>
    <w:p>
      <w:pPr>
        <w:spacing w:line="56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表1：信息点点数统计表</w:t>
      </w:r>
    </w:p>
    <w:p>
      <w:pPr>
        <w:spacing w:line="560" w:lineRule="exact"/>
        <w:jc w:val="center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信息点点数统计表</w:t>
      </w:r>
    </w:p>
    <w:p>
      <w:pPr>
        <w:spacing w:line="560" w:lineRule="exact"/>
        <w:jc w:val="left"/>
        <w:rPr>
          <w:rFonts w:hint="eastAsia" w:asciiTheme="minorEastAsia" w:hAnsiTheme="minorEastAsia" w:eastAsiaTheme="minorEastAsia" w:cstheme="minorEastAsia"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项目名称：                          建筑物编号：</w:t>
      </w:r>
    </w:p>
    <w:tbl>
      <w:tblPr>
        <w:tblStyle w:val="7"/>
        <w:tblW w:w="818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1009"/>
        <w:gridCol w:w="802"/>
        <w:gridCol w:w="711"/>
        <w:gridCol w:w="900"/>
        <w:gridCol w:w="900"/>
        <w:gridCol w:w="924"/>
        <w:gridCol w:w="992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restart"/>
            <w:vAlign w:val="center"/>
          </w:tcPr>
          <w:p>
            <w:pPr>
              <w:ind w:left="0" w:leftChars="0" w:right="-120" w:rightChars="-5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楼层</w:t>
            </w:r>
          </w:p>
          <w:p>
            <w:pPr>
              <w:ind w:left="0" w:leftChars="0" w:right="-120" w:rightChars="-5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序号</w:t>
            </w:r>
          </w:p>
        </w:tc>
        <w:tc>
          <w:tcPr>
            <w:tcW w:w="1009" w:type="dxa"/>
            <w:vMerge w:val="restart"/>
            <w:vAlign w:val="center"/>
          </w:tcPr>
          <w:p>
            <w:pPr>
              <w:ind w:left="0" w:leftChars="0" w:right="-120" w:rightChars="-5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信息点类别</w:t>
            </w:r>
          </w:p>
        </w:tc>
        <w:tc>
          <w:tcPr>
            <w:tcW w:w="3313" w:type="dxa"/>
            <w:gridSpan w:val="4"/>
            <w:vAlign w:val="center"/>
          </w:tcPr>
          <w:p>
            <w:pPr>
              <w:ind w:left="0" w:leftChars="0" w:right="-120" w:rightChars="-5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房间序号</w:t>
            </w:r>
          </w:p>
        </w:tc>
        <w:tc>
          <w:tcPr>
            <w:tcW w:w="1916" w:type="dxa"/>
            <w:gridSpan w:val="2"/>
            <w:vAlign w:val="center"/>
          </w:tcPr>
          <w:p>
            <w:pPr>
              <w:ind w:left="0" w:leftChars="0" w:right="-120" w:rightChars="-5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楼层信息点合计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ind w:left="0" w:leftChars="0" w:right="-120" w:rightChars="-5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信息点</w:t>
            </w:r>
          </w:p>
          <w:p>
            <w:pPr>
              <w:ind w:left="0" w:leftChars="0" w:right="-120" w:rightChars="-5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合计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continue"/>
            <w:vAlign w:val="center"/>
          </w:tcPr>
          <w:p>
            <w:pPr>
              <w:ind w:left="0" w:leftChars="0" w:right="-120" w:rightChars="-5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1009" w:type="dxa"/>
            <w:vMerge w:val="continue"/>
            <w:vAlign w:val="center"/>
          </w:tcPr>
          <w:p>
            <w:pPr>
              <w:ind w:left="0" w:leftChars="0" w:right="-120" w:rightChars="-5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802" w:type="dxa"/>
            <w:vAlign w:val="center"/>
          </w:tcPr>
          <w:p>
            <w:pPr>
              <w:ind w:left="0" w:leftChars="0" w:right="-120" w:rightChars="-5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01</w:t>
            </w:r>
          </w:p>
        </w:tc>
        <w:tc>
          <w:tcPr>
            <w:tcW w:w="711" w:type="dxa"/>
            <w:vAlign w:val="center"/>
          </w:tcPr>
          <w:p>
            <w:pPr>
              <w:ind w:left="0" w:leftChars="0" w:right="-120" w:rightChars="-5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02</w:t>
            </w:r>
          </w:p>
        </w:tc>
        <w:tc>
          <w:tcPr>
            <w:tcW w:w="900" w:type="dxa"/>
            <w:vAlign w:val="center"/>
          </w:tcPr>
          <w:p>
            <w:pPr>
              <w:ind w:left="0" w:leftChars="0" w:right="-120" w:rightChars="-5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  <w:t>……</w:t>
            </w:r>
          </w:p>
        </w:tc>
        <w:tc>
          <w:tcPr>
            <w:tcW w:w="900" w:type="dxa"/>
            <w:vAlign w:val="center"/>
          </w:tcPr>
          <w:p>
            <w:pPr>
              <w:ind w:left="0" w:leftChars="0" w:right="-120" w:rightChars="-5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n</w:t>
            </w:r>
          </w:p>
        </w:tc>
        <w:tc>
          <w:tcPr>
            <w:tcW w:w="924" w:type="dxa"/>
            <w:vAlign w:val="center"/>
          </w:tcPr>
          <w:p>
            <w:pPr>
              <w:ind w:left="0" w:leftChars="0" w:right="-120" w:rightChars="-5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数据</w:t>
            </w:r>
          </w:p>
        </w:tc>
        <w:tc>
          <w:tcPr>
            <w:tcW w:w="992" w:type="dxa"/>
            <w:vAlign w:val="center"/>
          </w:tcPr>
          <w:p>
            <w:pPr>
              <w:ind w:left="0" w:leftChars="0" w:right="-120" w:rightChars="-5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语音</w:t>
            </w:r>
          </w:p>
        </w:tc>
        <w:tc>
          <w:tcPr>
            <w:tcW w:w="1134" w:type="dxa"/>
            <w:vMerge w:val="continue"/>
            <w:vAlign w:val="center"/>
          </w:tcPr>
          <w:p>
            <w:pPr>
              <w:ind w:left="0" w:leftChars="0" w:right="-120" w:rightChars="-5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restart"/>
            <w:vAlign w:val="center"/>
          </w:tcPr>
          <w:p>
            <w:pPr>
              <w:widowControl/>
              <w:ind w:left="0" w:leftChars="0" w:right="-120" w:rightChars="-5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  <w:t>1层</w:t>
            </w:r>
          </w:p>
        </w:tc>
        <w:tc>
          <w:tcPr>
            <w:tcW w:w="1009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数据</w:t>
            </w:r>
          </w:p>
        </w:tc>
        <w:tc>
          <w:tcPr>
            <w:tcW w:w="802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711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924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>
            <w:pPr>
              <w:ind w:left="0" w:leftChars="0" w:right="-120" w:rightChars="-5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continue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1009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语音</w:t>
            </w:r>
          </w:p>
        </w:tc>
        <w:tc>
          <w:tcPr>
            <w:tcW w:w="802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711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924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restart"/>
            <w:vAlign w:val="center"/>
          </w:tcPr>
          <w:p>
            <w:pPr>
              <w:widowControl/>
              <w:ind w:left="0" w:leftChars="0" w:right="-120" w:rightChars="-5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  <w:t>……</w:t>
            </w:r>
          </w:p>
        </w:tc>
        <w:tc>
          <w:tcPr>
            <w:tcW w:w="1009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数据</w:t>
            </w:r>
          </w:p>
        </w:tc>
        <w:tc>
          <w:tcPr>
            <w:tcW w:w="802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711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924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continue"/>
            <w:vAlign w:val="center"/>
          </w:tcPr>
          <w:p>
            <w:pPr>
              <w:ind w:left="0" w:leftChars="0" w:right="-120" w:rightChars="-5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1009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语音</w:t>
            </w:r>
          </w:p>
        </w:tc>
        <w:tc>
          <w:tcPr>
            <w:tcW w:w="802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711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924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restart"/>
            <w:vAlign w:val="center"/>
          </w:tcPr>
          <w:p>
            <w:pPr>
              <w:widowControl/>
              <w:ind w:left="0" w:leftChars="0" w:right="-120" w:rightChars="-5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  <w:t>N层</w:t>
            </w:r>
          </w:p>
        </w:tc>
        <w:tc>
          <w:tcPr>
            <w:tcW w:w="1009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数据</w:t>
            </w:r>
          </w:p>
        </w:tc>
        <w:tc>
          <w:tcPr>
            <w:tcW w:w="802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711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924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continue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1009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语音</w:t>
            </w:r>
          </w:p>
        </w:tc>
        <w:tc>
          <w:tcPr>
            <w:tcW w:w="802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711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924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138" w:type="dxa"/>
            <w:gridSpan w:val="6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信息点合计</w:t>
            </w:r>
          </w:p>
        </w:tc>
        <w:tc>
          <w:tcPr>
            <w:tcW w:w="924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ind w:left="0" w:leftChars="0" w:right="72" w:rightChars="3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</w:p>
        </w:tc>
      </w:tr>
    </w:tbl>
    <w:p>
      <w:pPr>
        <w:spacing w:line="560" w:lineRule="exac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编制人签字：       审核人签字：         日期：   年  月  日</w:t>
      </w:r>
    </w:p>
    <w:p>
      <w:pPr>
        <w:numPr>
          <w:ilvl w:val="0"/>
          <w:numId w:val="0"/>
        </w:numPr>
        <w:snapToGrid w:val="0"/>
        <w:spacing w:line="560" w:lineRule="exact"/>
        <w:ind w:left="565"/>
        <w:outlineLvl w:val="9"/>
        <w:rPr>
          <w:rFonts w:hint="eastAsia"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（二）网络布线系统图设计（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>20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分）</w:t>
      </w:r>
    </w:p>
    <w:p>
      <w:pPr>
        <w:autoSpaceDE w:val="0"/>
        <w:autoSpaceDN w:val="0"/>
        <w:spacing w:line="56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使用Visio或者Auto CAD软件，参照图5完成CD-TO网络布线系统图的设计绘制。要求概念清晰、图面布局合理、图形正确、符号及缆线类型标记清楚、连接关系合理、说明完整、标题栏合理（包括项目名称、图纸类别、编制人、审核人和日期，其中编制人、审核人均填写赛位号，不得填写其它内容），设计图以文件名“系统图.vsd/系统图.dwg”保存到“工程设计成果-n”文件夹下，并生成一份JPEG格式文件。要求图片颜色及质量清晰易于分辨。</w:t>
      </w:r>
    </w:p>
    <w:p>
      <w:pPr>
        <w:numPr>
          <w:ilvl w:val="0"/>
          <w:numId w:val="0"/>
        </w:numPr>
        <w:snapToGrid w:val="0"/>
        <w:spacing w:line="560" w:lineRule="exact"/>
        <w:ind w:left="565"/>
        <w:outlineLvl w:val="9"/>
        <w:rPr>
          <w:rFonts w:hint="eastAsia"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（三）信息点端口对应表编制（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>20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分）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使用WPS表格软件,按照图6和表2格式完成图5建筑模型第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层信息点端口对应表的编制。要求严格按下述设计描述，项目名称正确，表格设计合理，端口对应编号正确，相关含义说明正确完整，赛位号（建筑物编号、编制人、审核人均填写赛位号，不得填写其它内容）及日期说明完整。编制完成后文件保存到“工程设计成果-n”文件夹下，保存文件名为“信息点端口对应表”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信息点端口对应表编号编制规定如下：</w:t>
      </w:r>
    </w:p>
    <w:p>
      <w:pPr>
        <w:snapToGrid w:val="0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4657725" cy="1518920"/>
            <wp:effectExtent l="0" t="0" r="9525" b="508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560" w:lineRule="exact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图6 信息点端口编号编制规定</w:t>
      </w:r>
    </w:p>
    <w:p>
      <w:pPr>
        <w:snapToGrid w:val="0"/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例如：第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层第1个数据信息点和语音信息点对应的信息点端口对应表编号分别为：FD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-W1-01-01D-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01、FD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-W3-01-01Y-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01。</w:t>
      </w:r>
    </w:p>
    <w:p>
      <w:pPr>
        <w:spacing w:line="56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表2：信息点端口对应表</w:t>
      </w:r>
    </w:p>
    <w:p>
      <w:pPr>
        <w:spacing w:line="560" w:lineRule="exact"/>
        <w:jc w:val="center"/>
        <w:rPr>
          <w:rFonts w:hint="eastAsia"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信息点端口对应表</w:t>
      </w:r>
    </w:p>
    <w:p>
      <w:pPr>
        <w:spacing w:line="560" w:lineRule="exact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项目名称：                   建筑物编号：</w:t>
      </w:r>
    </w:p>
    <w:tbl>
      <w:tblPr>
        <w:tblStyle w:val="7"/>
        <w:tblW w:w="83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9"/>
        <w:gridCol w:w="1660"/>
        <w:gridCol w:w="1276"/>
        <w:gridCol w:w="1151"/>
        <w:gridCol w:w="1117"/>
        <w:gridCol w:w="1134"/>
        <w:gridCol w:w="12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ind w:left="0" w:leftChars="0" w:right="-175" w:rightChars="-73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  <w:t>序号</w:t>
            </w:r>
          </w:p>
        </w:tc>
        <w:tc>
          <w:tcPr>
            <w:tcW w:w="1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ind w:left="0" w:leftChars="0" w:right="-175" w:rightChars="-73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  <w:t>楼层机柜</w:t>
            </w:r>
          </w:p>
          <w:p>
            <w:pPr>
              <w:autoSpaceDE w:val="0"/>
              <w:autoSpaceDN w:val="0"/>
              <w:adjustRightInd w:val="0"/>
              <w:ind w:left="0" w:leftChars="0" w:right="-175" w:rightChars="-73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  <w:t>编号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ind w:left="0" w:leftChars="0" w:right="-175" w:rightChars="-73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  <w:t>配线架     编号</w:t>
            </w: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ind w:left="0" w:leftChars="0" w:right="-175" w:rightChars="-73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  <w:t>配线架</w:t>
            </w:r>
          </w:p>
          <w:p>
            <w:pPr>
              <w:autoSpaceDE w:val="0"/>
              <w:autoSpaceDN w:val="0"/>
              <w:adjustRightInd w:val="0"/>
              <w:ind w:left="0" w:leftChars="0" w:right="-175" w:rightChars="-73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  <w:t>端口编号</w:t>
            </w:r>
          </w:p>
        </w:tc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ind w:left="0" w:leftChars="0" w:right="-175" w:rightChars="-73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  <w:t>信息插</w:t>
            </w:r>
          </w:p>
          <w:p>
            <w:pPr>
              <w:autoSpaceDE w:val="0"/>
              <w:autoSpaceDN w:val="0"/>
              <w:adjustRightInd w:val="0"/>
              <w:ind w:left="0" w:leftChars="0" w:right="-175" w:rightChars="-73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  <w:t>座编号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ind w:left="0" w:leftChars="0" w:right="-175" w:rightChars="-73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  <w:t>信息插</w:t>
            </w:r>
          </w:p>
          <w:p>
            <w:pPr>
              <w:autoSpaceDE w:val="0"/>
              <w:autoSpaceDN w:val="0"/>
              <w:adjustRightInd w:val="0"/>
              <w:ind w:left="0" w:leftChars="0" w:right="-175" w:rightChars="-73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  <w:t>口编号</w:t>
            </w:r>
          </w:p>
        </w:tc>
        <w:tc>
          <w:tcPr>
            <w:tcW w:w="1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ind w:left="0" w:leftChars="0" w:right="-175" w:rightChars="-73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  <w:t>房间编号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ind w:left="0" w:leftChars="0" w:right="-175" w:rightChars="-73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  <w:t>1</w:t>
            </w:r>
          </w:p>
        </w:tc>
        <w:tc>
          <w:tcPr>
            <w:tcW w:w="1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ind w:left="0" w:leftChars="0" w:right="-175" w:rightChars="-73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ind w:left="0" w:leftChars="0" w:right="-175" w:rightChars="-73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ind w:left="0" w:leftChars="0" w:right="-175" w:rightChars="-73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</w:p>
        </w:tc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ind w:left="0" w:leftChars="0" w:right="-175" w:rightChars="-73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ind w:left="0" w:leftChars="0" w:right="-175" w:rightChars="-73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</w:p>
        </w:tc>
        <w:tc>
          <w:tcPr>
            <w:tcW w:w="1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ind w:left="0" w:leftChars="0" w:right="-175" w:rightChars="-73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ind w:left="0" w:leftChars="0" w:right="-175" w:rightChars="-73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  <w:t>2</w:t>
            </w:r>
          </w:p>
        </w:tc>
        <w:tc>
          <w:tcPr>
            <w:tcW w:w="1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ind w:left="0" w:leftChars="0" w:right="-175" w:rightChars="-73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ind w:left="0" w:leftChars="0" w:right="-175" w:rightChars="-73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</w:p>
        </w:tc>
        <w:tc>
          <w:tcPr>
            <w:tcW w:w="11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ind w:left="0" w:leftChars="0" w:right="-175" w:rightChars="-73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</w:p>
        </w:tc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ind w:left="0" w:leftChars="0" w:right="-175" w:rightChars="-73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ind w:left="0" w:leftChars="0" w:right="-175" w:rightChars="-73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</w:p>
        </w:tc>
        <w:tc>
          <w:tcPr>
            <w:tcW w:w="1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ind w:left="0" w:leftChars="0" w:right="-175" w:rightChars="-73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</w:p>
        </w:tc>
      </w:tr>
    </w:tbl>
    <w:p>
      <w:pPr>
        <w:snapToGrid w:val="0"/>
        <w:spacing w:line="560" w:lineRule="exact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编制人签字：          审核人签字：       日期：   年  月  日</w:t>
      </w:r>
    </w:p>
    <w:p>
      <w:pPr>
        <w:numPr>
          <w:ilvl w:val="0"/>
          <w:numId w:val="0"/>
        </w:numPr>
        <w:snapToGrid w:val="0"/>
        <w:spacing w:line="560" w:lineRule="exact"/>
        <w:ind w:left="565"/>
        <w:outlineLvl w:val="9"/>
        <w:rPr>
          <w:rFonts w:hint="eastAsia"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（四）网络布线系统施工图设计（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>28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分）</w:t>
      </w:r>
    </w:p>
    <w:p>
      <w:pPr>
        <w:spacing w:line="56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使用Visio或者Auto CAD软件绘制图5建筑模型第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层的平面施工图。要求施工图中的文字、线条、尺寸、符号描述清晰完整。竞赛设计突出链路路由、信息点、楼层管理间机柜设置等信息的描述，针对水平配线桥架仅需考虑桥架路由及合理的桥架固定支撑点标注。标题栏合理（包括项目名称、图纸类别、编制人、审核人和日期，其中编制人、审核人均填写赛位号，不得填写其他内容）。设计图以文件名“施工图.vsd/施工图.dwg”保存到“工程设计成果-n”文件夹下，且生成一份JPEG格式文件。其他要求如下： 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FD-TO布线路由、敷设规格正确，安装方法标注正确；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2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配线设备和信息插座位置、规格正确，安装方法标注正确；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3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缆线规格标注正确；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4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图面布局合理、简洁，位置尺寸标注清楚正确；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5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图形符号规范，说明正确和清楚；</w:t>
      </w:r>
    </w:p>
    <w:p>
      <w:pPr>
        <w:snapToGrid w:val="0"/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6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标题栏基本信息填写完整。</w:t>
      </w:r>
    </w:p>
    <w:p>
      <w:pPr>
        <w:numPr>
          <w:ilvl w:val="0"/>
          <w:numId w:val="0"/>
        </w:numPr>
        <w:snapToGrid w:val="0"/>
        <w:spacing w:line="560" w:lineRule="exact"/>
        <w:ind w:left="565"/>
        <w:outlineLvl w:val="9"/>
        <w:rPr>
          <w:rFonts w:hint="eastAsia"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（五）材料统计表编制（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>20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分）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使用WPS表格软件，按照表3格式，完成图5建筑模型第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层的网络布线系统材料统计表的编制。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要求：材料名称和规格/型号正确，数量符合实际并统计正确，辅料合适，赛位号（建筑物编号、编制人、审核人均填写赛位号，不得填写其它内容）和日期说明完整。编制完成后文件保存到“工程设计成果-n”文件夹下，保存文件名为“材料统计表”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表3：材料统计表</w:t>
      </w:r>
    </w:p>
    <w:p>
      <w:pPr>
        <w:spacing w:line="560" w:lineRule="exact"/>
        <w:jc w:val="center"/>
        <w:rPr>
          <w:rFonts w:hint="eastAsia"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材料统计表</w:t>
      </w:r>
    </w:p>
    <w:p>
      <w:pPr>
        <w:autoSpaceDE w:val="0"/>
        <w:autoSpaceDN w:val="0"/>
        <w:spacing w:line="560" w:lineRule="exact"/>
        <w:jc w:val="left"/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项目名称：                   建筑物编号：</w:t>
      </w:r>
    </w:p>
    <w:tbl>
      <w:tblPr>
        <w:tblStyle w:val="7"/>
        <w:tblW w:w="82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2334"/>
        <w:gridCol w:w="2268"/>
        <w:gridCol w:w="1417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78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autoSpaceDE w:val="0"/>
              <w:autoSpaceDN w:val="0"/>
              <w:ind w:left="0" w:leftChars="0" w:right="-149" w:rightChars="-62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  <w:t>序号</w:t>
            </w:r>
          </w:p>
        </w:tc>
        <w:tc>
          <w:tcPr>
            <w:tcW w:w="2334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autoSpaceDE w:val="0"/>
              <w:autoSpaceDN w:val="0"/>
              <w:ind w:left="0" w:leftChars="0" w:right="-149" w:rightChars="-62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  <w:t>材料名称</w:t>
            </w:r>
          </w:p>
        </w:tc>
        <w:tc>
          <w:tcPr>
            <w:tcW w:w="2268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autoSpaceDE w:val="0"/>
              <w:autoSpaceDN w:val="0"/>
              <w:ind w:left="0" w:leftChars="0" w:right="-149" w:rightChars="-62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  <w:t>材料规格/型号</w:t>
            </w:r>
          </w:p>
        </w:tc>
        <w:tc>
          <w:tcPr>
            <w:tcW w:w="1417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autoSpaceDE w:val="0"/>
              <w:autoSpaceDN w:val="0"/>
              <w:ind w:left="0" w:leftChars="0" w:right="-149" w:rightChars="-62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  <w:t>单位</w:t>
            </w:r>
          </w:p>
        </w:tc>
        <w:tc>
          <w:tcPr>
            <w:tcW w:w="1418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autoSpaceDE w:val="0"/>
              <w:autoSpaceDN w:val="0"/>
              <w:ind w:left="0" w:leftChars="0" w:right="-149" w:rightChars="-62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  <w:jc w:val="center"/>
        </w:trPr>
        <w:tc>
          <w:tcPr>
            <w:tcW w:w="78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autoSpaceDE w:val="0"/>
              <w:autoSpaceDN w:val="0"/>
              <w:ind w:left="0" w:leftChars="0" w:right="-149" w:rightChars="-62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  <w:t>1</w:t>
            </w:r>
          </w:p>
        </w:tc>
        <w:tc>
          <w:tcPr>
            <w:tcW w:w="2334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autoSpaceDE w:val="0"/>
              <w:autoSpaceDN w:val="0"/>
              <w:ind w:left="0" w:leftChars="0" w:right="-149" w:rightChars="-62" w:firstLine="0" w:firstLineChars="0"/>
              <w:jc w:val="left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</w:p>
        </w:tc>
        <w:tc>
          <w:tcPr>
            <w:tcW w:w="2268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autoSpaceDE w:val="0"/>
              <w:autoSpaceDN w:val="0"/>
              <w:ind w:left="0" w:leftChars="0" w:right="-149" w:rightChars="-62" w:firstLine="0" w:firstLineChars="0"/>
              <w:jc w:val="left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</w:p>
        </w:tc>
        <w:tc>
          <w:tcPr>
            <w:tcW w:w="1417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autoSpaceDE w:val="0"/>
              <w:autoSpaceDN w:val="0"/>
              <w:ind w:left="0" w:leftChars="0" w:right="-149" w:rightChars="-62" w:firstLine="0" w:firstLineChars="0"/>
              <w:jc w:val="left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</w:p>
        </w:tc>
        <w:tc>
          <w:tcPr>
            <w:tcW w:w="1418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autoSpaceDE w:val="0"/>
              <w:autoSpaceDN w:val="0"/>
              <w:ind w:left="0" w:leftChars="0" w:right="-149" w:rightChars="-62" w:firstLine="0" w:firstLineChars="0"/>
              <w:jc w:val="left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  <w:jc w:val="center"/>
        </w:trPr>
        <w:tc>
          <w:tcPr>
            <w:tcW w:w="78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autoSpaceDE w:val="0"/>
              <w:autoSpaceDN w:val="0"/>
              <w:ind w:left="0" w:leftChars="0" w:right="-149" w:rightChars="-62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  <w:t>2</w:t>
            </w:r>
          </w:p>
        </w:tc>
        <w:tc>
          <w:tcPr>
            <w:tcW w:w="2334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autoSpaceDE w:val="0"/>
              <w:autoSpaceDN w:val="0"/>
              <w:ind w:left="0" w:leftChars="0" w:right="-149" w:rightChars="-62" w:firstLine="0" w:firstLineChars="0"/>
              <w:jc w:val="left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</w:p>
        </w:tc>
        <w:tc>
          <w:tcPr>
            <w:tcW w:w="2268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autoSpaceDE w:val="0"/>
              <w:autoSpaceDN w:val="0"/>
              <w:ind w:left="0" w:leftChars="0" w:right="-149" w:rightChars="-62" w:firstLine="0" w:firstLineChars="0"/>
              <w:jc w:val="left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</w:p>
        </w:tc>
        <w:tc>
          <w:tcPr>
            <w:tcW w:w="1417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autoSpaceDE w:val="0"/>
              <w:autoSpaceDN w:val="0"/>
              <w:ind w:left="0" w:leftChars="0" w:right="-149" w:rightChars="-62" w:firstLine="0" w:firstLineChars="0"/>
              <w:jc w:val="left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</w:p>
        </w:tc>
        <w:tc>
          <w:tcPr>
            <w:tcW w:w="1418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autoSpaceDE w:val="0"/>
              <w:autoSpaceDN w:val="0"/>
              <w:ind w:left="0" w:leftChars="0" w:right="-149" w:rightChars="-62" w:firstLine="0" w:firstLineChars="0"/>
              <w:jc w:val="left"/>
              <w:rPr>
                <w:rFonts w:hint="eastAsia" w:asciiTheme="minorEastAsia" w:hAnsiTheme="minorEastAsia" w:eastAsiaTheme="minorEastAsia" w:cstheme="minorEastAsia"/>
                <w:bCs/>
                <w:kern w:val="0"/>
                <w:sz w:val="24"/>
                <w:szCs w:val="24"/>
                <w:lang w:val="zh-CN"/>
              </w:rPr>
            </w:pPr>
          </w:p>
        </w:tc>
      </w:tr>
    </w:tbl>
    <w:p>
      <w:pPr>
        <w:snapToGrid w:val="0"/>
        <w:spacing w:line="560" w:lineRule="exact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编制人签字：        审核人签字：         日期：   年  月  日</w:t>
      </w:r>
    </w:p>
    <w:p>
      <w:pP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br w:type="page"/>
      </w:r>
    </w:p>
    <w:p>
      <w:pPr>
        <w:ind w:left="0" w:leftChars="0" w:firstLine="0" w:firstLineChars="0"/>
        <w:jc w:val="center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drawing>
          <wp:inline distT="0" distB="0" distL="114300" distR="114300">
            <wp:extent cx="5274310" cy="6349365"/>
            <wp:effectExtent l="0" t="0" r="2540" b="13335"/>
            <wp:docPr id="2" name="图片 2" descr="BD-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D-C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4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图7  模拟CD、BD机架装置设备安装位置图</w:t>
      </w:r>
    </w:p>
    <w:p>
      <w:r>
        <w:br w:type="page"/>
      </w:r>
    </w:p>
    <w:p>
      <w:pPr>
        <w:numPr>
          <w:ilvl w:val="0"/>
          <w:numId w:val="0"/>
        </w:numPr>
        <w:tabs>
          <w:tab w:val="left" w:pos="1418"/>
        </w:tabs>
        <w:spacing w:line="480" w:lineRule="exact"/>
        <w:ind w:left="1" w:hanging="1"/>
        <w:jc w:val="center"/>
        <w:outlineLvl w:val="9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t>模块</w:t>
      </w:r>
      <w:r>
        <w:rPr>
          <w:rFonts w:hint="eastAsia" w:ascii="黑体" w:hAnsi="黑体"/>
          <w:b w:val="0"/>
          <w:sz w:val="32"/>
          <w:szCs w:val="32"/>
          <w:lang w:val="en-US" w:eastAsia="zh-CN"/>
        </w:rPr>
        <w:t>C</w:t>
      </w:r>
      <w:r>
        <w:rPr>
          <w:rFonts w:hint="eastAsia" w:ascii="黑体" w:hAnsi="黑体" w:eastAsia="黑体"/>
          <w:b w:val="0"/>
          <w:sz w:val="32"/>
          <w:szCs w:val="32"/>
        </w:rPr>
        <w:t>：网络布线配线端接工程技术（1</w:t>
      </w:r>
      <w:r>
        <w:rPr>
          <w:rFonts w:hint="eastAsia" w:ascii="黑体" w:hAnsi="黑体"/>
          <w:b w:val="0"/>
          <w:sz w:val="32"/>
          <w:szCs w:val="32"/>
          <w:lang w:val="en-US" w:eastAsia="zh-CN"/>
        </w:rPr>
        <w:t>0</w:t>
      </w:r>
      <w:r>
        <w:rPr>
          <w:rFonts w:hint="eastAsia" w:ascii="黑体" w:hAnsi="黑体" w:eastAsia="黑体"/>
          <w:b w:val="0"/>
          <w:sz w:val="32"/>
          <w:szCs w:val="32"/>
        </w:rPr>
        <w:t>0分）</w:t>
      </w:r>
    </w:p>
    <w:p>
      <w:pPr>
        <w:snapToGrid w:val="0"/>
        <w:spacing w:line="540" w:lineRule="exact"/>
        <w:ind w:firstLine="470" w:firstLineChars="196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按照图7所示位置，完成复杂链路端接、测试链路端接。RJ45水晶头按照T568B线序端接。4对双绞线电缆端接110配线架5对连接模块时按照白蓝、蓝、白橙、橙、白绿、绿、白棕、棕的线序端接。</w:t>
      </w:r>
    </w:p>
    <w:p>
      <w:pPr>
        <w:numPr>
          <w:ilvl w:val="0"/>
          <w:numId w:val="0"/>
        </w:numPr>
        <w:snapToGrid w:val="0"/>
        <w:spacing w:line="540" w:lineRule="exact"/>
        <w:ind w:left="565"/>
        <w:outlineLvl w:val="9"/>
        <w:rPr>
          <w:rFonts w:hint="eastAsia"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（一）复杂链路端接（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>50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分）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在CD机架装置上完成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个回路复杂链路的布线和模块端接，路由按照“图8 网络压线测试链路端接路由与位置示意图”所示，每个回路链路由3根跳线组成（每回路3根跳线结构如图8侧视图所示，图中的X表示1-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，表示第1至第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条链路），端/压接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组线束。要求链路端/压接正确，每段跳线长度适中，端接处拆开线对长度适中，端接位置线序正确，剪掉多余牵引线，线标正确（跳线两端使用扎带式标签进行标识，如第1条链路3根跳线两端均标识为“Y1-1”、“Y1-2”、“Y1-3”）。端接110配线架B1时，每根双绞线电缆使用1个5对连接模块，端接在蓝、橙、绿、棕色标的对应端口。</w:t>
      </w:r>
    </w:p>
    <w:p>
      <w:pPr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265420" cy="2750185"/>
            <wp:effectExtent l="0" t="0" r="11430" b="12065"/>
            <wp:docPr id="11" name="图片 11" descr="复杂链路4链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复杂链路4链路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图8   网络压线测试链路端接路由与位置示意图</w:t>
      </w:r>
    </w:p>
    <w:p>
      <w:pPr>
        <w:numPr>
          <w:ilvl w:val="0"/>
          <w:numId w:val="0"/>
        </w:numPr>
        <w:snapToGrid w:val="0"/>
        <w:spacing w:line="560" w:lineRule="exact"/>
        <w:ind w:left="565"/>
        <w:outlineLvl w:val="9"/>
        <w:rPr>
          <w:rFonts w:hint="eastAsia"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（二）测试链路端接（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>50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分）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在 BD 机架装置上网络跳线测试仪完成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个回路测试链路的布线和模块端接，路由按照“图 9 网络跳线测试链路端接路由与位置示意图”所示，每个回路链路由 3 根跳线组成（每回路 3 根跳线结构如图 9 侧视图所示），端/压接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组线束。要求链路端接正确，每段跳线长度适中，端接处拆开线对长度适中，端接位置线序正确，剪掉多余牵引线，线标正确（跳线两端使用扎带式标签进行标识，如第 1 条链路 3 根跳线两端均标识为“T1-1”、“T1-2”、“T1-3”）。端接 110 配线架 C1 时，每根双绞线电缆使用 1 个 5 对连接模块，端接在蓝、橙、绿、棕色标的对应端口。</w:t>
      </w:r>
    </w:p>
    <w:p>
      <w:pPr>
        <w:pStyle w:val="2"/>
        <w:rPr>
          <w:rFonts w:hint="eastAsia"/>
        </w:rPr>
      </w:pPr>
    </w:p>
    <w:p>
      <w:pPr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269230" cy="2678430"/>
            <wp:effectExtent l="0" t="0" r="7620" b="7620"/>
            <wp:docPr id="21" name="图片 21" descr="测试链路4链路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测试链路4链路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560" w:lineRule="exact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图9  网络跳线测试链路端接路由与位置示意图</w:t>
      </w:r>
    </w:p>
    <w:p>
      <w:pPr>
        <w:snapToGrid w:val="0"/>
        <w:spacing w:line="560" w:lineRule="exact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spacing w:line="20" w:lineRule="exact"/>
      </w:pPr>
      <w:r>
        <w:br w:type="page"/>
      </w:r>
    </w:p>
    <w:p>
      <w:pPr>
        <w:numPr>
          <w:ilvl w:val="0"/>
          <w:numId w:val="0"/>
        </w:numPr>
        <w:tabs>
          <w:tab w:val="left" w:pos="1418"/>
        </w:tabs>
        <w:spacing w:line="480" w:lineRule="exact"/>
        <w:jc w:val="center"/>
        <w:outlineLvl w:val="9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t>模块</w:t>
      </w:r>
      <w:r>
        <w:rPr>
          <w:rFonts w:hint="eastAsia" w:ascii="黑体" w:hAnsi="黑体"/>
          <w:b w:val="0"/>
          <w:sz w:val="32"/>
          <w:szCs w:val="32"/>
          <w:lang w:val="en-US" w:eastAsia="zh-CN"/>
        </w:rPr>
        <w:t>D</w:t>
      </w:r>
      <w:r>
        <w:rPr>
          <w:rFonts w:hint="eastAsia" w:ascii="黑体" w:hAnsi="黑体" w:eastAsia="黑体"/>
          <w:b w:val="0"/>
          <w:sz w:val="32"/>
          <w:szCs w:val="32"/>
        </w:rPr>
        <w:t>：建筑群子系统布线安装（</w:t>
      </w:r>
      <w:r>
        <w:rPr>
          <w:rFonts w:hint="eastAsia" w:ascii="黑体" w:hAnsi="黑体"/>
          <w:b w:val="0"/>
          <w:sz w:val="32"/>
          <w:szCs w:val="32"/>
          <w:lang w:val="en-US" w:eastAsia="zh-CN"/>
        </w:rPr>
        <w:t>120</w:t>
      </w:r>
      <w:r>
        <w:rPr>
          <w:rFonts w:hint="eastAsia" w:ascii="黑体" w:hAnsi="黑体" w:eastAsia="黑体"/>
          <w:b w:val="0"/>
          <w:sz w:val="32"/>
          <w:szCs w:val="32"/>
        </w:rPr>
        <w:t>分）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按照图1、图7所示，完成建筑群子系统布线安装，包括：缆线布放、理线、绑扎、固定，室外光缆开缆、固定、熔接、盘纤，光纤配线架安装，大对数电缆端接，链路标识。要求：主干链路路由正确，理线美观，固定牢固，预留缆线长度适中，端接端口对应合理，端接位置符合下述要求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24芯室外单模光缆按照色谱顺序（松套管色谱依次为：蓝、橙、绿、棕；光纤色谱依次为：蓝、橙、绿、棕、灰、白）熔接。25对大对数电缆按照主次线序（主色依次为：白、红、黑、黄、紫；次/辅色依次为：蓝、橙、绿、棕、灰）端接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完成室外光缆、大对数电缆布线、理线、绑扎、固定。在CD-BD之间的门型桥架上布放1根24芯室外单模光缆和1根25对大对数电缆，全部缆线在两端机架和梯形桥架的布放必须保持平整、绑扎规范和美观。缆线与梯形桥架的所有接触点必须捆扎固定。缆线两端必须合理预留未来设备安装与调试等多种需要，预留缆线整理平整，放在CD、BD机架底座上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  <w:t>2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highlight w:val="none"/>
        </w:rPr>
        <w:t>．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  <w:t>一根24芯室外单模光缆的一端穿入CD机架光纤配线架C2，另一端穿入BD机架光纤配线架B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  <w:t>，完成室外光缆开缆、清洁和固定，将24芯光纤与尾纤熔接，两端共熔接48芯，尾纤另一端插接在对应的耦合器上，要求熔接合格，剥除护套长度合理，热缩管排列整齐，盘纤平整、规范和美观。CD机架光纤配线架C2和BD机架光纤配线架B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  <w:t>的端口对应关系为：按照光缆的色谱顺序一一对应。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  <w:t>3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highlight w:val="none"/>
        </w:rPr>
        <w:t>．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  <w:t>按照图7所示位置完成CD机架光纤配线架C2和BD机架光纤配线架B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  <w:t>安装。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4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一根25对大对数电缆一端穿入CD机架，端接在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110配线架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  <w:t>C2的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26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  <w:t>-5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  <w:t>线对（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eastAsia="zh-CN"/>
        </w:rPr>
        <w:t>110配线架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  <w:t>左下位置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  <w:t>，另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一端穿入BD机架，端接在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110配线架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B2的1-25线对（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110配线架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左上位置）。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  <w:t>并正确安装各顶层的5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对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  <w:t>连接模块。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5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CD-BD 之间所有链路使用扎带式标签进行标识，缆线两端、CD、BD机架入口处、桥架两端、桥架转弯处均需设置标识。室外光缆链路标识为“C-B-G1”，大对数电缆链路标识为“C-B-Y1”。</w:t>
      </w:r>
    </w:p>
    <w:p>
      <w:pPr>
        <w:pStyle w:val="4"/>
        <w:numPr>
          <w:ilvl w:val="0"/>
          <w:numId w:val="0"/>
        </w:numPr>
        <w:tabs>
          <w:tab w:val="left" w:pos="1418"/>
        </w:tabs>
        <w:spacing w:line="480" w:lineRule="exact"/>
        <w:ind w:left="1" w:hanging="1"/>
        <w:jc w:val="center"/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</w:pP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br w:type="page"/>
      </w:r>
    </w:p>
    <w:p>
      <w:pPr>
        <w:spacing w:line="560" w:lineRule="exact"/>
        <w:ind w:firstLine="482" w:firstLineChars="200"/>
        <w:rPr>
          <w:rFonts w:hint="eastAsia"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网络布线系统安装施工说明：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网络布线系统安装施工在网络布线实训装置进行，如图1所示。每个竞赛队1个赛位，竞赛赛位宽度约为2.9米，深度约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7.050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米。竞赛操作不得跨区作业、跨区走动及跨区放置材料。</w:t>
      </w:r>
    </w:p>
    <w:p>
      <w:pPr>
        <w:spacing w:before="1" w:line="369" w:lineRule="auto"/>
        <w:ind w:left="32" w:right="4" w:firstLine="561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竞赛过程中，不得对仿真墙体、模拟CD、BD机架装置进行位置移动操作，具体链路施工路由要求，请按赛卷题目要求及图 7、图 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 图 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中描述的位置进行。具体要求如下：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图1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中101、201…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206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为信息插座编号。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2．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针对双口信息插座统一规定：面对信息面板，左侧端口为数据信息点，右侧端口为语音信息点，数据信息点与语音信息点均使用数据模块端接。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3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RJ45水晶头按照T568B线序端接。4对双绞线电缆端接110配线架连接模块时按照线序（白蓝、蓝、白橙、橙、白绿、绿、白棕、棕）端接。RJ11水晶头按照线序（白绿、蓝、白蓝、绿）制作。25对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室内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大对数电缆按照主次线序（主色依次为：白、红、黑、黄、紫；次/辅色依次为：蓝、橙、绿、棕、灰）端接。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4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FD机柜内放置设备/器材（由上至下）为：网络配线架W1、网络配线架W2、110配线架Y1、光纤配线架G2。</w:t>
      </w:r>
    </w:p>
    <w:p>
      <w:pPr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2956560" cy="7886700"/>
            <wp:effectExtent l="0" t="0" r="15240" b="0"/>
            <wp:docPr id="23" name="图片 23" descr="2022辽宁综合布线省赛单工位俯视布局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22辽宁综合布线省赛单工位俯视布局图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1" w:line="216" w:lineRule="auto"/>
        <w:ind w:firstLine="1934"/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pacing w:val="-3"/>
          <w:sz w:val="24"/>
          <w:szCs w:val="24"/>
        </w:rPr>
        <w:t>图</w:t>
      </w:r>
      <w:r>
        <w:rPr>
          <w:rFonts w:hint="eastAsia" w:asciiTheme="minorEastAsia" w:hAnsiTheme="minorEastAsia" w:eastAsiaTheme="minorEastAsia" w:cstheme="minorEastAsia"/>
          <w:spacing w:val="-26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pacing w:val="-2"/>
          <w:sz w:val="24"/>
          <w:szCs w:val="24"/>
        </w:rPr>
        <w:t>1</w:t>
      </w:r>
      <w:r>
        <w:rPr>
          <w:rFonts w:hint="eastAsia" w:asciiTheme="minorEastAsia" w:hAnsiTheme="minorEastAsia" w:eastAsiaTheme="minorEastAsia" w:cstheme="minorEastAsia"/>
          <w:spacing w:val="-2"/>
          <w:sz w:val="24"/>
          <w:szCs w:val="24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spacing w:val="-26"/>
          <w:sz w:val="24"/>
          <w:szCs w:val="24"/>
        </w:rPr>
        <w:t xml:space="preserve">  </w:t>
      </w:r>
      <w:r>
        <w:rPr>
          <w:rFonts w:hint="eastAsia" w:asciiTheme="minorEastAsia" w:hAnsiTheme="minorEastAsia" w:eastAsiaTheme="minorEastAsia" w:cstheme="minorEastAsia"/>
          <w:spacing w:val="-2"/>
          <w:sz w:val="24"/>
          <w:szCs w:val="24"/>
        </w:rPr>
        <w:t>网络布线工程安装链路俯视图</w:t>
      </w:r>
    </w:p>
    <w:p>
      <w:pPr>
        <w:spacing w:line="560" w:lineRule="exact"/>
        <w:ind w:firstLine="482" w:firstLineChars="200"/>
        <w:rPr>
          <w:rFonts w:hint="eastAsia" w:asciiTheme="minorEastAsia" w:hAnsiTheme="minorEastAsia" w:eastAsiaTheme="minorEastAsia" w:cstheme="minorEastAsia"/>
          <w:b/>
          <w:sz w:val="24"/>
          <w:szCs w:val="24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8791575" cy="4892040"/>
            <wp:effectExtent l="0" t="0" r="9525" b="3810"/>
            <wp:docPr id="7" name="图片 7" descr="2022岳阳综合布线市赛墙面布局图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2岳阳综合布线市赛墙面布局图V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91575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图1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 竞赛操作仿真墙正平面展开图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b/>
          <w:sz w:val="24"/>
          <w:szCs w:val="24"/>
        </w:rPr>
        <w:sectPr>
          <w:pgSz w:w="16838" w:h="11906" w:orient="landscape"/>
          <w:pgMar w:top="1797" w:right="1440" w:bottom="1797" w:left="1440" w:header="851" w:footer="992" w:gutter="0"/>
          <w:pgNumType w:fmt="decimal"/>
          <w:cols w:space="720" w:num="1"/>
          <w:docGrid w:type="linesAndChars" w:linePitch="312" w:charSpace="0"/>
        </w:sectPr>
      </w:pPr>
    </w:p>
    <w:p>
      <w:pPr>
        <w:numPr>
          <w:ilvl w:val="0"/>
          <w:numId w:val="0"/>
        </w:numPr>
        <w:tabs>
          <w:tab w:val="left" w:pos="1418"/>
        </w:tabs>
        <w:spacing w:line="480" w:lineRule="exact"/>
        <w:ind w:left="1" w:hanging="1"/>
        <w:jc w:val="center"/>
        <w:outlineLvl w:val="9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t>模块</w:t>
      </w:r>
      <w:r>
        <w:rPr>
          <w:rFonts w:hint="eastAsia" w:ascii="黑体" w:hAnsi="黑体"/>
          <w:b w:val="0"/>
          <w:sz w:val="32"/>
          <w:szCs w:val="32"/>
          <w:lang w:val="en-US" w:eastAsia="zh-CN"/>
        </w:rPr>
        <w:t>E</w:t>
      </w:r>
      <w:r>
        <w:rPr>
          <w:rFonts w:hint="eastAsia" w:ascii="黑体" w:hAnsi="黑体" w:eastAsia="黑体"/>
          <w:b w:val="0"/>
          <w:sz w:val="32"/>
          <w:szCs w:val="32"/>
        </w:rPr>
        <w:t>：干线子系统布线安装（1</w:t>
      </w:r>
      <w:r>
        <w:rPr>
          <w:rFonts w:hint="eastAsia" w:ascii="黑体" w:hAnsi="黑体"/>
          <w:b w:val="0"/>
          <w:sz w:val="32"/>
          <w:szCs w:val="32"/>
          <w:lang w:val="en-US" w:eastAsia="zh-CN"/>
        </w:rPr>
        <w:t>5</w:t>
      </w:r>
      <w:r>
        <w:rPr>
          <w:rFonts w:hint="eastAsia" w:ascii="黑体" w:hAnsi="黑体" w:eastAsia="黑体"/>
          <w:b w:val="0"/>
          <w:sz w:val="32"/>
          <w:szCs w:val="32"/>
        </w:rPr>
        <w:t>0分）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按照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图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图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、图1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所示，完成干线子系统布线安装，包括：FD机柜、网络配线架、光纤配线架、110配线架、线管的安装，缆线布放、端接、链路标识。要求：主干链路路由正确，预留缆线长度适中，端接端口对应合理，端接位置符合下述要求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完成FD1、FD2机柜及配线架安装。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2．完成 BD-FD 缆线布放，在 BD-FD 之间的门型桥架上布放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根单芯皮线光缆、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根 25 对室内大对数电缆和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根超五类非屏蔽双绞线电缆。分别穿入 FD1、FD2 机柜内（各 FD 机柜布线类型、数 量相同，每个 FD 机柜进线分别为：2 根单芯皮线光缆、1 根 25 对室内大对数电缆、2 根超五类非屏蔽双绞线电缆）。要求全部缆线在两端机架和梯形桥架的布放必须保持平整、绑扎规范和美观。缆线与梯形桥架的所有接触点必须捆扎固定。缆线两端必须合理预留未来设备安装与调试等多种需要，预留缆线整理平整，分别放在 BD 机架底座上、各 FD 机柜内。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3．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根单芯皮线光缆的一端穿入 BD 机架光纤配线架 B1，制作光纤 SC 冷压接头接在光纤配线架 B1 的 1-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号进线端口，相对应的另一端分别制作光纤 SC 冷压接头接入 FD1、FD2机柜内光纤配线架 G2 的 1-2 号进线端口。端口对应关系为：BD 机架光纤配线架 B1 的 1 号进线端口- FD1 机柜光纤配线架 G2 的 1 号进线端口，BD 机架光纤配线架 B1 的 2 号进线端口- FD1 机柜光纤配线架 G2 的 2 号进线端口， BD 机架光纤配线架 B1 的 3 号进线端口- FD2 机柜光纤配线架 G2 的 1 号进线端口，BD 机架光纤配线架 B1 的 4 号进线端口- FD2 机柜光纤配线架 G2 的 2 号进线端口。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4．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两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根 25 对室内大对数电缆端接方式为：第 1 根一端端接在 BD 机架 110 配线架 B2 的 26-50 线对（ 110 配线架左下位置），另一端端接在 FD1 机柜内 110 配线架 Y1 的 1-25 线对（ 110 配线架左上位置）； 第 2 根一端端接在 BD 机架 110 配线架 B2 的 51-75 线对（ 110 配线架右上位置），另一端端接在 FD2 机柜内 110 配线架 Y1 的 1-25 线对（ 110 配线架左上位置）。并正确安装各顶层的 5 对连接模块。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5．制作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根长度适中的铜缆跳线。其中：第 1 根一端端接在 BD 机架 110 配线架 B2 的 26-29 线对（ 110 配线架左下位置）5 对连接模块上层，另一端制作 RJ11 水晶头接入程控交换机的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S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号分机端口； 第 2 根一端端接在 BD 机架 110 配线架 B2 的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线对（ 110 配线架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右上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位置）5 对连接模块上层，另一端制作 RJ11 水晶头，接入程控交换机的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S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号分机端口；具体如图 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所示。</w:t>
      </w:r>
    </w:p>
    <w:p>
      <w:pPr>
        <w:snapToGrid w:val="0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063750" cy="1976120"/>
            <wp:effectExtent l="0" t="0" r="12700" b="5080"/>
            <wp:docPr id="12" name="图片 12" descr="截屏2021-09-16 下午3.07.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截屏2021-09-16 下午3.07.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976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560" w:lineRule="exact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图1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程控交换机跳线接线示意图</w:t>
      </w:r>
    </w:p>
    <w:p>
      <w:pPr>
        <w:numPr>
          <w:ilvl w:val="0"/>
          <w:numId w:val="0"/>
        </w:num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．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根超五类非屏蔽双绞线电缆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端接方式为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根超五类非屏蔽双绞线电缆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一头制作水晶头接到交换机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 1-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号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LAN口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，相对应的另一端分别端接在 FD1、FD2 机柜内网络配线架 W1 的 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号端/压接模块。端口对应关系为：BD 机架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交换机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 1 号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LAN口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- FD1 机柜网络配线架 W1 的 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号端/压接模块；BD 机架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交换机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的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号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LAN口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- FD1 机柜网络配线架 W1 的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号端/压接模块；BD 机架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交换机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的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号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LAN口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- FD2 机柜网络配线架 W1 的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17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号端/压接模块；BD 机架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交换机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的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号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LAN口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- FD2 机柜网络配线架 W1 的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号端/压接模块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spacing w:line="560" w:lineRule="exact"/>
        <w:ind w:firstLine="48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．BD-FD 之间所有链路使用扎带式标签进行标识，两端均需设置标识。第一根光缆链路标识为 “B-F-G1”、第二根光缆链路标识为 “B-F-G2” … …第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根光缆链路标识为 “B-F-G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”，以此类推，从 BD 机架光纤配线架 B1 的 1 号进线端口依次标识。第一根大对数链路标识为“B-F-Y1”、第二根大对数链路标识为“B-F-Y2”，从 BD 机架 110 配线架 B2 的 26-50 线对依次标识。第一根双绞线链路标识为 “B-F-D1”、第二根双绞线链路标识为“B-F-D2”… …第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根双绞线链路标识为“B-F-D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”，以此类推，从 BD 机架智能配线架 S2 的 1 号端/压接模块依次标识。</w:t>
      </w:r>
    </w:p>
    <w:p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  <w:sectPr>
          <w:footerReference r:id="rId6" w:type="default"/>
          <w:pgSz w:w="11906" w:h="16839"/>
          <w:pgMar w:top="1431" w:right="1785" w:bottom="1157" w:left="1785" w:header="0" w:footer="994" w:gutter="0"/>
          <w:pgNumType w:fmt="decimal"/>
          <w:cols w:space="720" w:num="1"/>
        </w:sectPr>
      </w:pPr>
    </w:p>
    <w:p>
      <w:pPr>
        <w:numPr>
          <w:ilvl w:val="0"/>
          <w:numId w:val="0"/>
        </w:numPr>
        <w:tabs>
          <w:tab w:val="left" w:pos="1418"/>
        </w:tabs>
        <w:spacing w:line="480" w:lineRule="exact"/>
        <w:ind w:left="1" w:hanging="1"/>
        <w:jc w:val="center"/>
        <w:outlineLvl w:val="9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t>模块</w:t>
      </w:r>
      <w:r>
        <w:rPr>
          <w:rFonts w:hint="eastAsia" w:ascii="黑体" w:hAnsi="黑体"/>
          <w:b w:val="0"/>
          <w:sz w:val="32"/>
          <w:szCs w:val="32"/>
          <w:lang w:val="en-US" w:eastAsia="zh-CN"/>
        </w:rPr>
        <w:t>F</w:t>
      </w:r>
      <w:r>
        <w:rPr>
          <w:rFonts w:hint="eastAsia" w:ascii="黑体" w:hAnsi="黑体" w:eastAsia="黑体"/>
          <w:b w:val="0"/>
          <w:sz w:val="32"/>
          <w:szCs w:val="32"/>
        </w:rPr>
        <w:t>：配线子系统布线安装（</w:t>
      </w:r>
      <w:r>
        <w:rPr>
          <w:rFonts w:hint="eastAsia" w:ascii="黑体" w:hAnsi="黑体"/>
          <w:b w:val="0"/>
          <w:sz w:val="32"/>
          <w:szCs w:val="32"/>
          <w:lang w:val="en-US" w:eastAsia="zh-CN"/>
        </w:rPr>
        <w:t>36</w:t>
      </w:r>
      <w:r>
        <w:rPr>
          <w:rFonts w:ascii="黑体" w:hAnsi="黑体" w:eastAsia="黑体"/>
          <w:b w:val="0"/>
          <w:sz w:val="32"/>
          <w:szCs w:val="32"/>
        </w:rPr>
        <w:t>0</w:t>
      </w:r>
      <w:r>
        <w:rPr>
          <w:rFonts w:hint="eastAsia" w:ascii="黑体" w:hAnsi="黑体" w:eastAsia="黑体"/>
          <w:b w:val="0"/>
          <w:sz w:val="32"/>
          <w:szCs w:val="32"/>
        </w:rPr>
        <w:t>分）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按照图 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所示，完成底盒、模块、面板、线槽/线管、电话分机、 网络摄像机、无线 AP 的安装，缆线布放以及端接，链路标识。要求： 安装位置正确、剥线长度适中、线序和端接正确，预留缆线长度适中， 剪掉多余牵引线。具体要求如下：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1．完成 FD1、FD2配线子系统 PVC 线槽/线管安装及布线。 39x18PVC线槽和20x10PVC线槽自制直角、阴角安装和布线，39x18PVC 线槽与20x10PVC线槽联接配件均通过线槽切割拼接完成。Φ20PVC 冷弯管使用管卡、自制弯头安装和布线。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2．完成数据信息点链路端接。数据信息点链路全部使用超五类非屏蔽双绞线电缆，一端端接数据模块（无线AP 为 RJ45 水晶头）并安装在面板上，另一端穿入本楼层FD 机柜中，并且完成FD 机柜内网络配线架的安装与端接。所有数据信息点按照信息插座编号从小到大的顺序从网络配线架 W2 的 1 号端/压接模块开始依次端接。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3． 制作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根长度适合的网络跳线，分别连接 FD1、FD2机柜内网络配线架 W1 的 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号端口和网络配线架 W2 的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号端口，端口对应关系为：网络配线架 W1 的 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号端口-网络配线架 W2 的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号端口，网络配线架 W1 的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号端口-网络配线架 W2 的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号端口。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4．完成语音信息点链路端接。语音信息点链路全部使用超五类非屏蔽双绞线电缆，一端端接数据模块并安装在面板上，另一端穿入本楼层 FD 机柜中，并且完成 FD 机柜内网络配线架的安装与端接。所有语音信息点按照信息插座编号从小到大的顺序从网络配线架 W2 的 7号端/压接模块开始依次端接。 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5.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制作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根长度适合的铜缆跳线。其中：第 1 根一端端接在 FD1 机柜内 110 配线架 Y1 的 1-4 线对（ 110 配线架左上位置）5 对连接模块上层，另一端制作 RJ45 水晶头，接入 FD1机柜内网络配线架 W2 的 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号端口；第2根一端端接在 FD1 机柜内 110 配线架 Y1 上 5-8 线对（ 110 配线架左上位置）5 对连接模块上层，另一端制作 RJ45 水晶头，接入 FD1 机柜内网络配线架 W2 的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号端口；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．FD-TO 之间所有链路两端均需使用标签进行标识。FD 端使用 扎带式标签标识，TO 端使用信息面板标签纸标签标识。链路标签由 信息插座编号与信息插口编号组成，L 代表左端口、R 代表右端口、A 代表无线 AP，如：101-L、101-R、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02-A 等，标签贴于网络插口上方中央位置，要求标签尺寸裁剪适中、美观。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．完成电话分机通路安装。将 2 部电话分机分别安装在 10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5和106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信息插座附近合适的位置，制作 2 根长度适中的语音跳线，一端为 RJ11水晶头，分别连接分机 1、分机 2，另一端为 RJ45 水晶头，分别接入 10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和 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06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信息插座的右侧端口。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．完成网络摄像机视频采集。将网络摄像机安装在 20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信息插 座附近合适的位置，制作 1 根长度适合的网络跳线，一端连接网络摄像机，另一端接入 20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信息插座的左侧端口。通过竞赛用计算机桌面的网络摄像机客户端，调出网络摄像机监控画面（ 网络摄像机在添加客户端时使用的用户名为 admin，密码为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qixiang123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），监控画面必须显示网络布线实训装置上安装的 FD1 机柜。并对监控画面进行截图，保存为 JPEG 格式，文件名为“网络摄像机监控画面”，并保存到“其余竞赛成果-n”文件夹下。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9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．完成 FD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工作区子系统无线 AP（POE 供电）安装和调试。打开浏览器，在地址栏输入：http:// 192.168.0.254（ 出厂默认 IP 地址）后回车，输入默认用户名和密码，进入无线AP 设置界面进行配置。其中无线 AP 的 IP 地址、无线网络名称（ SSID）按照 “无线 AP 配置参数表”（现场发放）中指定的参数进行配置。拔掉竞赛用计算机的网络跳线，使用无线网卡连接本竞赛赛位无线网络，调出并保持监控画面窗口。</w:t>
      </w:r>
    </w:p>
    <w:p>
      <w:pPr>
        <w:jc w:val="center"/>
        <w:rPr>
          <w:rFonts w:ascii="黑体" w:hAnsi="黑体" w:eastAsia="黑体"/>
          <w:sz w:val="32"/>
          <w:szCs w:val="32"/>
        </w:rPr>
      </w:pPr>
    </w:p>
    <w:p>
      <w:pPr>
        <w:numPr>
          <w:ilvl w:val="0"/>
          <w:numId w:val="0"/>
        </w:numPr>
        <w:tabs>
          <w:tab w:val="left" w:pos="1418"/>
        </w:tabs>
        <w:spacing w:line="480" w:lineRule="exact"/>
        <w:ind w:left="1" w:hanging="1"/>
        <w:jc w:val="center"/>
        <w:outlineLvl w:val="9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t>模块</w:t>
      </w:r>
      <w:r>
        <w:rPr>
          <w:rFonts w:hint="eastAsia" w:ascii="黑体" w:hAnsi="黑体"/>
          <w:b w:val="0"/>
          <w:sz w:val="32"/>
          <w:szCs w:val="32"/>
          <w:lang w:val="en-US" w:eastAsia="zh-CN"/>
        </w:rPr>
        <w:t>G</w:t>
      </w:r>
      <w:r>
        <w:rPr>
          <w:rFonts w:hint="eastAsia" w:ascii="黑体" w:hAnsi="黑体" w:eastAsia="黑体"/>
          <w:b w:val="0"/>
          <w:sz w:val="32"/>
          <w:szCs w:val="32"/>
        </w:rPr>
        <w:t>：网络布线项目管理（</w:t>
      </w:r>
      <w:r>
        <w:rPr>
          <w:rFonts w:hint="eastAsia" w:ascii="黑体" w:hAnsi="黑体"/>
          <w:b w:val="0"/>
          <w:sz w:val="32"/>
          <w:szCs w:val="32"/>
          <w:lang w:val="en-US" w:eastAsia="zh-CN"/>
        </w:rPr>
        <w:t>5</w:t>
      </w:r>
      <w:r>
        <w:rPr>
          <w:rFonts w:hint="eastAsia" w:ascii="黑体" w:hAnsi="黑体" w:eastAsia="黑体"/>
          <w:b w:val="0"/>
          <w:sz w:val="32"/>
          <w:szCs w:val="32"/>
        </w:rPr>
        <w:t>0分）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（一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）现场设备、材料、工具堆放整齐、有序。</w:t>
      </w:r>
    </w:p>
    <w:p>
      <w:pPr>
        <w:spacing w:line="56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二）安全施工、文明施工、合理使用材料。</w:t>
      </w:r>
    </w:p>
    <w:p>
      <w:pPr>
        <w:spacing w:line="360" w:lineRule="auto"/>
        <w:ind w:firstLine="200"/>
        <w:rPr>
          <w:rFonts w:hint="eastAsia" w:asciiTheme="minorEastAsia" w:hAnsiTheme="minorEastAsia" w:eastAsiaTheme="minorEastAsia" w:cstheme="minorEastAsia"/>
          <w:b/>
          <w:sz w:val="24"/>
          <w:szCs w:val="24"/>
        </w:rPr>
      </w:pPr>
    </w:p>
    <w:p>
      <w:pPr>
        <w:spacing w:line="560" w:lineRule="exact"/>
        <w:ind w:firstLine="482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  <w:highlight w:val="none"/>
        </w:rPr>
        <w:t>【特别说明】竞赛结束前，参赛队员需将本赛位计算机桌面的“其余竞赛成果-n”文件夹（n为赛位号）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highlight w:val="none"/>
          <w:lang w:val="en-US" w:eastAsia="zh-CN"/>
        </w:rPr>
        <w:t>保存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highlight w:val="none"/>
        </w:rPr>
        <w:t>到竞赛现场提供的桌面上。裁判只依据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highlight w:val="none"/>
          <w:lang w:val="en-US" w:eastAsia="zh-CN"/>
        </w:rPr>
        <w:t>桌面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highlight w:val="none"/>
        </w:rPr>
        <w:t>中指定文件夹的内容进行评分，未按要求保存者不得分。</w:t>
      </w:r>
    </w:p>
    <w:p/>
    <w:p>
      <w:pPr>
        <w:pStyle w:val="2"/>
        <w:ind w:left="0" w:leftChars="0" w:firstLine="0" w:firstLineChars="0"/>
        <w:rPr>
          <w:rFonts w:hint="eastAsia" w:asciiTheme="minorEastAsia" w:hAnsiTheme="minorEastAsia" w:eastAsiaTheme="minorEastAsia" w:cstheme="minorEastAsia"/>
          <w:szCs w:val="24"/>
        </w:rPr>
      </w:pPr>
    </w:p>
    <w:p>
      <w:bookmarkStart w:id="4" w:name="_GoBack"/>
      <w:bookmarkEnd w:id="4"/>
    </w:p>
    <w:sectPr>
      <w:pgSz w:w="11906" w:h="16838"/>
      <w:pgMar w:top="1440" w:right="1800" w:bottom="1440" w:left="1800" w:header="851" w:footer="992" w:gutter="0"/>
      <w:pgNumType w:start="4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宋体-18030">
    <w:altName w:val="Arial Unicode MS"/>
    <w:panose1 w:val="020B0604020202020204"/>
    <w:charset w:val="86"/>
    <w:family w:val="modern"/>
    <w:pitch w:val="default"/>
    <w:sig w:usb0="00000000" w:usb1="00000000" w:usb2="000A005E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rPr>
        <w:rFonts w:ascii="Calibri" w:hAnsi="Calibri" w:eastAsia="Calibri" w:cs="Calibri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51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s0lY7tAAAAAFAQAADwAAAAAAAAABACAAAAAiAAAA&#10;ZHJzL2Rvd25yZXYueG1sUEsBAhQAFAAAAAgAh07iQIZXTv/WAQAAsAMAAA4AAAAAAAAAAQAgAAAA&#10;HwEAAGRycy9lMm9Eb2MueG1sUEsFBgAAAAAGAAYAWQEAAGcFAAAAAA==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51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51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LNJWO7QAAAABQEAAA8AAAAAAAAAAQAgAAAAIgAA&#10;AGRycy9kb3ducmV2LnhtbFBLAQIUABQAAAAIAIdO4kAG1CDJ1wEAALADAAAOAAAAAAAAAAEAIAAA&#10;AB8BAABkcnMvZTJvRG9jLnhtbFBLBQYAAAAABgAGAFkBAABoBQAAAAA=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51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RkMjhiYWJiOThmODRkZDc5ZGU4NGFiMGEyMDM2NWUifQ=="/>
  </w:docVars>
  <w:rsids>
    <w:rsidRoot w:val="00000000"/>
    <w:rsid w:val="2DC54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snapToGrid w:val="0"/>
      <w:spacing w:line="360" w:lineRule="auto"/>
      <w:ind w:firstLine="200" w:firstLineChars="200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styleId="4">
    <w:name w:val="heading 1"/>
    <w:basedOn w:val="1"/>
    <w:next w:val="1"/>
    <w:qFormat/>
    <w:uiPriority w:val="99"/>
    <w:pPr>
      <w:keepNext/>
      <w:keepLines/>
      <w:spacing w:beforeLines="50" w:afterLines="50"/>
      <w:ind w:firstLine="0" w:firstLineChars="0"/>
      <w:outlineLvl w:val="0"/>
    </w:pPr>
    <w:rPr>
      <w:rFonts w:ascii="Times New Roman" w:hAnsi="Times New Roman" w:eastAsia="黑体"/>
      <w:b/>
      <w:bCs/>
      <w:kern w:val="44"/>
      <w:sz w:val="36"/>
      <w:szCs w:val="44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spacing w:line="560" w:lineRule="exact"/>
      <w:ind w:firstLine="721"/>
    </w:pPr>
    <w:rPr>
      <w:rFonts w:ascii="Calibri"/>
    </w:rPr>
  </w:style>
  <w:style w:type="paragraph" w:styleId="3">
    <w:name w:val="Body Text"/>
    <w:basedOn w:val="1"/>
    <w:qFormat/>
    <w:uiPriority w:val="1"/>
    <w:pPr>
      <w:ind w:left="220"/>
    </w:pPr>
    <w:rPr>
      <w:rFonts w:ascii="宋体" w:hAnsi="宋体" w:cs="宋体"/>
      <w:sz w:val="28"/>
      <w:szCs w:val="28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adjustRightInd/>
      <w:spacing w:line="240" w:lineRule="auto"/>
      <w:ind w:firstLine="0" w:firstLineChars="0"/>
      <w:jc w:val="left"/>
    </w:pPr>
    <w:rPr>
      <w:sz w:val="18"/>
      <w:szCs w:val="18"/>
    </w:rPr>
  </w:style>
  <w:style w:type="paragraph" w:styleId="6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="等线 Light" w:hAnsi="等线 Light"/>
      <w:b/>
      <w:bCs/>
      <w:kern w:val="28"/>
      <w:sz w:val="32"/>
      <w:szCs w:val="32"/>
    </w:rPr>
  </w:style>
  <w:style w:type="paragraph" w:customStyle="1" w:styleId="9">
    <w:name w:val="标题3"/>
    <w:basedOn w:val="6"/>
    <w:qFormat/>
    <w:uiPriority w:val="0"/>
    <w:pPr>
      <w:spacing w:before="0" w:after="0" w:line="560" w:lineRule="atLeast"/>
      <w:jc w:val="both"/>
    </w:pPr>
    <w:rPr>
      <w:rFonts w:eastAsia="仿宋"/>
      <w:b w:val="0"/>
      <w:sz w:val="28"/>
    </w:rPr>
  </w:style>
  <w:style w:type="paragraph" w:customStyle="1" w:styleId="10">
    <w:name w:val="_Style 6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chrissy lv</cp:lastModifiedBy>
  <dcterms:modified xsi:type="dcterms:W3CDTF">2022-12-12T02:22:06Z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7D1986E3AE424735AED845B59E8A007B</vt:lpwstr>
  </property>
</Properties>
</file>